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651189E"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4B2A77" w:rsidRPr="004B2A77">
            <w:rPr>
              <w:rFonts w:asciiTheme="minorHAnsi" w:hAnsiTheme="minorHAnsi" w:cs="Calibri"/>
              <w:b/>
              <w:color w:val="000000" w:themeColor="text1"/>
              <w:lang w:val="es-DO"/>
            </w:rPr>
            <w:t>Equipos para Distribución y Conversión de Energía</w:t>
          </w:r>
          <w:bookmarkStart w:id="1" w:name="_GoBack"/>
          <w:bookmarkEnd w:id="1"/>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2" w:name="_Hlk52196972"/>
      <w:r w:rsidR="00467D37" w:rsidRPr="005C3607">
        <w:rPr>
          <w:rFonts w:asciiTheme="minorHAnsi" w:hAnsiTheme="minorHAnsi" w:cstheme="minorHAnsi"/>
          <w:lang w:val="es-DO"/>
        </w:rPr>
        <w:t xml:space="preserve">RNC </w:t>
      </w:r>
      <w:bookmarkStart w:id="3" w:name="_Hlk52352214"/>
      <w:r w:rsidR="00467D37" w:rsidRPr="005C3607">
        <w:rPr>
          <w:rFonts w:asciiTheme="minorHAnsi" w:hAnsiTheme="minorHAnsi" w:cstheme="minorHAnsi"/>
          <w:lang w:val="es-DO"/>
        </w:rPr>
        <w:t>4-01-51707-8</w:t>
      </w:r>
      <w:bookmarkEnd w:id="2"/>
      <w:bookmarkEnd w:id="3"/>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4"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4"/>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D4D20C3"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5"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5"/>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0C06BE">
        <w:rPr>
          <w:rFonts w:asciiTheme="minorHAnsi" w:hAnsiTheme="minorHAnsi" w:cstheme="minorHAnsi"/>
          <w:b/>
          <w:bCs/>
        </w:rPr>
        <w:t>0</w:t>
      </w:r>
      <w:r w:rsidR="004B2A77">
        <w:rPr>
          <w:rFonts w:asciiTheme="minorHAnsi" w:hAnsiTheme="minorHAnsi" w:cstheme="minorHAnsi"/>
          <w:b/>
          <w:bCs/>
        </w:rPr>
        <w:t>5</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034FBA99"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55F18C6C" w14:textId="77777777" w:rsidR="004B2A77" w:rsidRPr="009F4B26" w:rsidRDefault="004B2A77" w:rsidP="004B2A77">
      <w:pPr>
        <w:ind w:left="708"/>
        <w:jc w:val="both"/>
        <w:rPr>
          <w:rFonts w:ascii="Century Gothic" w:eastAsia="Calibri" w:hAnsi="Century Gothic" w:cstheme="majorHAnsi"/>
          <w:b/>
          <w:sz w:val="20"/>
          <w:szCs w:val="20"/>
        </w:rPr>
      </w:pPr>
    </w:p>
    <w:tbl>
      <w:tblPr>
        <w:tblStyle w:val="TableGrid"/>
        <w:tblW w:w="10446" w:type="dxa"/>
        <w:tblInd w:w="-289" w:type="dxa"/>
        <w:tblLayout w:type="fixed"/>
        <w:tblLook w:val="04A0" w:firstRow="1" w:lastRow="0" w:firstColumn="1" w:lastColumn="0" w:noHBand="0" w:noVBand="1"/>
      </w:tblPr>
      <w:tblGrid>
        <w:gridCol w:w="648"/>
        <w:gridCol w:w="716"/>
        <w:gridCol w:w="1244"/>
        <w:gridCol w:w="1828"/>
        <w:gridCol w:w="4339"/>
        <w:gridCol w:w="1671"/>
      </w:tblGrid>
      <w:tr w:rsidR="004B2A77" w:rsidRPr="00B05F8D" w14:paraId="0867AAE5" w14:textId="77777777" w:rsidTr="00B45EB9">
        <w:trPr>
          <w:trHeight w:val="354"/>
          <w:tblHeader/>
        </w:trPr>
        <w:tc>
          <w:tcPr>
            <w:tcW w:w="10446" w:type="dxa"/>
            <w:gridSpan w:val="6"/>
            <w:shd w:val="clear" w:color="auto" w:fill="002060"/>
          </w:tcPr>
          <w:p w14:paraId="2EA4EEBE" w14:textId="77777777" w:rsidR="004B2A77" w:rsidRPr="00B05F8D" w:rsidRDefault="004B2A77" w:rsidP="00B45EB9">
            <w:pPr>
              <w:jc w:val="center"/>
              <w:rPr>
                <w:rFonts w:ascii="Century Gothic" w:hAnsi="Century Gothic"/>
                <w:b/>
                <w:bCs/>
                <w:sz w:val="18"/>
                <w:szCs w:val="18"/>
              </w:rPr>
            </w:pPr>
            <w:bookmarkStart w:id="6" w:name="_Hlk105758261"/>
            <w:r w:rsidRPr="00B05F8D">
              <w:rPr>
                <w:rFonts w:ascii="Century Gothic" w:hAnsi="Century Gothic"/>
                <w:b/>
                <w:bCs/>
                <w:sz w:val="18"/>
                <w:szCs w:val="18"/>
              </w:rPr>
              <w:t>DETALLE DEL REQUERIMIENTO</w:t>
            </w:r>
          </w:p>
        </w:tc>
      </w:tr>
      <w:tr w:rsidR="004B2A77" w:rsidRPr="00B05F8D" w14:paraId="1C71A94C" w14:textId="77777777" w:rsidTr="00B45EB9">
        <w:trPr>
          <w:trHeight w:val="233"/>
          <w:tblHeader/>
        </w:trPr>
        <w:tc>
          <w:tcPr>
            <w:tcW w:w="648" w:type="dxa"/>
            <w:vAlign w:val="center"/>
          </w:tcPr>
          <w:p w14:paraId="0C13CBB1"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eastAsia="Calibri" w:hAnsi="Century Gothic" w:cstheme="majorHAnsi"/>
                <w:b/>
                <w:sz w:val="18"/>
                <w:szCs w:val="18"/>
              </w:rPr>
              <w:t>Ítem</w:t>
            </w:r>
          </w:p>
        </w:tc>
        <w:tc>
          <w:tcPr>
            <w:tcW w:w="716" w:type="dxa"/>
            <w:vAlign w:val="center"/>
          </w:tcPr>
          <w:p w14:paraId="6E79F720"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eastAsia="Calibri" w:hAnsi="Century Gothic" w:cstheme="majorHAnsi"/>
                <w:b/>
                <w:sz w:val="18"/>
                <w:szCs w:val="18"/>
              </w:rPr>
              <w:t>Cant</w:t>
            </w:r>
          </w:p>
        </w:tc>
        <w:tc>
          <w:tcPr>
            <w:tcW w:w="1244" w:type="dxa"/>
            <w:vAlign w:val="center"/>
          </w:tcPr>
          <w:p w14:paraId="580A7ECF"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eastAsia="Calibri" w:hAnsi="Century Gothic" w:cstheme="majorHAnsi"/>
                <w:b/>
                <w:sz w:val="18"/>
                <w:szCs w:val="18"/>
              </w:rPr>
              <w:t>Rubro</w:t>
            </w:r>
          </w:p>
        </w:tc>
        <w:tc>
          <w:tcPr>
            <w:tcW w:w="1828" w:type="dxa"/>
            <w:vAlign w:val="center"/>
          </w:tcPr>
          <w:p w14:paraId="25AFB287"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eastAsia="Calibri" w:hAnsi="Century Gothic" w:cstheme="majorHAnsi"/>
                <w:b/>
                <w:sz w:val="18"/>
                <w:szCs w:val="18"/>
              </w:rPr>
              <w:t>Descripción</w:t>
            </w:r>
          </w:p>
        </w:tc>
        <w:tc>
          <w:tcPr>
            <w:tcW w:w="4339" w:type="dxa"/>
            <w:vAlign w:val="center"/>
          </w:tcPr>
          <w:p w14:paraId="6060AB06"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eastAsia="Calibri" w:hAnsi="Century Gothic" w:cstheme="majorHAnsi"/>
                <w:b/>
                <w:sz w:val="18"/>
                <w:szCs w:val="18"/>
              </w:rPr>
              <w:t>Requisitos Mínimos</w:t>
            </w:r>
          </w:p>
        </w:tc>
        <w:tc>
          <w:tcPr>
            <w:tcW w:w="1666" w:type="dxa"/>
            <w:vAlign w:val="center"/>
          </w:tcPr>
          <w:p w14:paraId="778DF80B" w14:textId="77777777" w:rsidR="004B2A77" w:rsidRPr="00B05F8D" w:rsidRDefault="004B2A77" w:rsidP="00B45EB9">
            <w:pPr>
              <w:jc w:val="center"/>
              <w:rPr>
                <w:rFonts w:ascii="Century Gothic" w:eastAsia="Calibri" w:hAnsi="Century Gothic" w:cstheme="majorHAnsi"/>
                <w:b/>
                <w:sz w:val="18"/>
                <w:szCs w:val="18"/>
              </w:rPr>
            </w:pPr>
            <w:r w:rsidRPr="00B05F8D">
              <w:rPr>
                <w:rFonts w:ascii="Century Gothic" w:hAnsi="Century Gothic" w:cstheme="minorHAnsi"/>
                <w:b/>
                <w:sz w:val="18"/>
                <w:szCs w:val="18"/>
              </w:rPr>
              <w:t>Garantía Mínima Imprescindible</w:t>
            </w:r>
          </w:p>
        </w:tc>
      </w:tr>
      <w:tr w:rsidR="004B2A77" w:rsidRPr="00B05F8D" w14:paraId="055E7A89" w14:textId="77777777" w:rsidTr="00B45EB9">
        <w:trPr>
          <w:trHeight w:val="1703"/>
        </w:trPr>
        <w:tc>
          <w:tcPr>
            <w:tcW w:w="648" w:type="dxa"/>
          </w:tcPr>
          <w:p w14:paraId="4F788048" w14:textId="77777777" w:rsidR="004B2A77" w:rsidRPr="00B05F8D" w:rsidRDefault="004B2A77" w:rsidP="00B45EB9">
            <w:pPr>
              <w:jc w:val="right"/>
              <w:rPr>
                <w:rFonts w:ascii="Century Gothic" w:eastAsia="Calibri" w:hAnsi="Century Gothic" w:cstheme="majorHAnsi"/>
                <w:sz w:val="18"/>
                <w:szCs w:val="18"/>
              </w:rPr>
            </w:pPr>
            <w:r w:rsidRPr="00B05F8D">
              <w:rPr>
                <w:rFonts w:ascii="Century Gothic" w:hAnsi="Century Gothic" w:cstheme="minorHAnsi"/>
                <w:sz w:val="18"/>
                <w:szCs w:val="18"/>
              </w:rPr>
              <w:t>1</w:t>
            </w:r>
          </w:p>
        </w:tc>
        <w:tc>
          <w:tcPr>
            <w:tcW w:w="716" w:type="dxa"/>
          </w:tcPr>
          <w:p w14:paraId="5CDE226C" w14:textId="77777777" w:rsidR="004B2A77" w:rsidRPr="00B05F8D" w:rsidRDefault="004B2A77" w:rsidP="00B45EB9">
            <w:pPr>
              <w:jc w:val="right"/>
              <w:rPr>
                <w:rFonts w:ascii="Century Gothic" w:eastAsia="Calibri" w:hAnsi="Century Gothic" w:cstheme="majorHAnsi"/>
                <w:sz w:val="18"/>
                <w:szCs w:val="18"/>
              </w:rPr>
            </w:pPr>
            <w:r w:rsidRPr="00B05F8D">
              <w:rPr>
                <w:rFonts w:ascii="Century Gothic" w:hAnsi="Century Gothic" w:cstheme="minorHAnsi"/>
                <w:sz w:val="18"/>
                <w:szCs w:val="18"/>
              </w:rPr>
              <w:t>2</w:t>
            </w:r>
          </w:p>
        </w:tc>
        <w:tc>
          <w:tcPr>
            <w:tcW w:w="1244" w:type="dxa"/>
          </w:tcPr>
          <w:p w14:paraId="50DB6206" w14:textId="77777777" w:rsidR="004B2A77" w:rsidRPr="00B05F8D" w:rsidRDefault="004B2A77" w:rsidP="00B45EB9">
            <w:pPr>
              <w:jc w:val="both"/>
              <w:rPr>
                <w:rFonts w:ascii="Century Gothic" w:eastAsia="Calibri" w:hAnsi="Century Gothic" w:cstheme="majorHAnsi"/>
                <w:sz w:val="18"/>
                <w:szCs w:val="18"/>
              </w:rPr>
            </w:pPr>
            <w:r w:rsidRPr="00B05F8D">
              <w:rPr>
                <w:rFonts w:ascii="Century Gothic" w:hAnsi="Century Gothic" w:cstheme="minorHAnsi"/>
                <w:sz w:val="18"/>
                <w:szCs w:val="18"/>
              </w:rPr>
              <w:t>39121017</w:t>
            </w:r>
          </w:p>
        </w:tc>
        <w:tc>
          <w:tcPr>
            <w:tcW w:w="1828" w:type="dxa"/>
          </w:tcPr>
          <w:p w14:paraId="0B4C6363" w14:textId="77777777" w:rsidR="004B2A77" w:rsidRPr="00B05F8D" w:rsidRDefault="004B2A77" w:rsidP="00B45EB9">
            <w:pPr>
              <w:jc w:val="both"/>
              <w:rPr>
                <w:rFonts w:ascii="Century Gothic" w:eastAsia="Calibri" w:hAnsi="Century Gothic" w:cstheme="majorHAnsi"/>
                <w:sz w:val="18"/>
                <w:szCs w:val="18"/>
              </w:rPr>
            </w:pPr>
            <w:r w:rsidRPr="00B05F8D">
              <w:rPr>
                <w:rFonts w:ascii="Century Gothic" w:hAnsi="Century Gothic" w:cs="Calibri"/>
                <w:sz w:val="18"/>
                <w:szCs w:val="18"/>
              </w:rPr>
              <w:t>Unidades de Distribución de corriente vertical para rack de servidores de 100v</w:t>
            </w:r>
          </w:p>
        </w:tc>
        <w:tc>
          <w:tcPr>
            <w:tcW w:w="4339" w:type="dxa"/>
          </w:tcPr>
          <w:p w14:paraId="0C8D9353"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Unidades de distribución de corriente vertical (PDU) </w:t>
            </w:r>
          </w:p>
          <w:p w14:paraId="2E59A022"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Amperaje 20A </w:t>
            </w:r>
          </w:p>
          <w:p w14:paraId="3F610F0B"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Conexiones de salida </w:t>
            </w:r>
          </w:p>
          <w:p w14:paraId="098AF8E8" w14:textId="77777777" w:rsidR="004B2A77" w:rsidRPr="00B05F8D" w:rsidRDefault="004B2A77" w:rsidP="004B2A77">
            <w:pPr>
              <w:pStyle w:val="ListParagraph"/>
              <w:numPr>
                <w:ilvl w:val="1"/>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(18) IEC 60320 C13,</w:t>
            </w:r>
          </w:p>
          <w:p w14:paraId="337BA2F1" w14:textId="77777777" w:rsidR="004B2A77" w:rsidRPr="00B05F8D" w:rsidRDefault="004B2A77" w:rsidP="004B2A77">
            <w:pPr>
              <w:pStyle w:val="ListParagraph"/>
              <w:numPr>
                <w:ilvl w:val="1"/>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(2) IEC 60320 C19 </w:t>
            </w:r>
          </w:p>
          <w:p w14:paraId="2926B60B"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Voltaje de salida nominal 208V </w:t>
            </w:r>
          </w:p>
          <w:p w14:paraId="4D228A34"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Voltaje Nominal de Entrada 100V-120V </w:t>
            </w:r>
          </w:p>
          <w:p w14:paraId="411CCE4C"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Tipo de Conexión de Entrada NEMA L6-20P </w:t>
            </w:r>
          </w:p>
          <w:p w14:paraId="0923188C"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Longitud de Cable 3 metros </w:t>
            </w:r>
          </w:p>
          <w:p w14:paraId="22716BA8"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Frecuencia de entrada 50/60 Hz</w:t>
            </w:r>
          </w:p>
          <w:p w14:paraId="743BD9BB"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Voltaje de Entrada Aceptable 100 </w:t>
            </w:r>
          </w:p>
          <w:p w14:paraId="371CC2A3"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240VAC - Número de cables de alimentación 1 </w:t>
            </w:r>
          </w:p>
          <w:p w14:paraId="6563A9AD"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Capacidad de Carga 3300VA </w:t>
            </w:r>
          </w:p>
          <w:p w14:paraId="3B71301C" w14:textId="77777777" w:rsidR="004B2A77" w:rsidRPr="00B05F8D"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Corriente máxima de entrada 20A </w:t>
            </w:r>
          </w:p>
          <w:p w14:paraId="004F68FC"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05F8D">
              <w:rPr>
                <w:rFonts w:ascii="Century Gothic" w:hAnsi="Century Gothic" w:cs="Calibri"/>
                <w:color w:val="000000"/>
                <w:sz w:val="18"/>
                <w:szCs w:val="18"/>
              </w:rPr>
              <w:t xml:space="preserve">Corriente de entrada reducida reguladora </w:t>
            </w:r>
            <w:r w:rsidRPr="00B45EB9">
              <w:rPr>
                <w:rFonts w:ascii="Century Gothic" w:hAnsi="Century Gothic" w:cs="Calibri"/>
                <w:color w:val="000000"/>
                <w:sz w:val="18"/>
                <w:szCs w:val="18"/>
              </w:rPr>
              <w:t>(Norteamérica) 16ª</w:t>
            </w:r>
          </w:p>
          <w:p w14:paraId="017B319D" w14:textId="77777777" w:rsidR="004B2A77" w:rsidRPr="00B05F8D" w:rsidRDefault="004B2A77" w:rsidP="004B2A77">
            <w:pPr>
              <w:pStyle w:val="ListParagraph"/>
              <w:numPr>
                <w:ilvl w:val="0"/>
                <w:numId w:val="31"/>
              </w:numPr>
              <w:contextualSpacing w:val="0"/>
              <w:jc w:val="both"/>
              <w:rPr>
                <w:rFonts w:ascii="Century Gothic" w:eastAsia="Calibri" w:hAnsi="Century Gothic" w:cstheme="majorHAnsi"/>
                <w:sz w:val="18"/>
                <w:szCs w:val="18"/>
              </w:rPr>
            </w:pPr>
            <w:r w:rsidRPr="00B45EB9">
              <w:rPr>
                <w:rFonts w:ascii="Century Gothic" w:hAnsi="Century Gothic" w:cs="Calibri"/>
                <w:color w:val="000000"/>
                <w:sz w:val="18"/>
                <w:szCs w:val="18"/>
              </w:rPr>
              <w:t>Marca de Origen en Estados Unidos</w:t>
            </w:r>
          </w:p>
        </w:tc>
        <w:tc>
          <w:tcPr>
            <w:tcW w:w="1666" w:type="dxa"/>
          </w:tcPr>
          <w:p w14:paraId="6E2B1200" w14:textId="77777777" w:rsidR="004B2A77" w:rsidRPr="00B05F8D" w:rsidRDefault="004B2A77" w:rsidP="00B45EB9">
            <w:pPr>
              <w:pStyle w:val="ListParagraph"/>
              <w:ind w:left="0"/>
              <w:rPr>
                <w:rFonts w:ascii="Century Gothic" w:hAnsi="Century Gothic" w:cs="Calibri"/>
                <w:color w:val="000000"/>
                <w:sz w:val="18"/>
                <w:szCs w:val="18"/>
              </w:rPr>
            </w:pPr>
            <w:r w:rsidRPr="00B05F8D">
              <w:rPr>
                <w:rFonts w:ascii="Century Gothic" w:hAnsi="Century Gothic" w:cs="Calibri"/>
                <w:color w:val="000000"/>
                <w:sz w:val="18"/>
                <w:szCs w:val="18"/>
              </w:rPr>
              <w:t>2 años de reparación y garantía</w:t>
            </w:r>
          </w:p>
        </w:tc>
      </w:tr>
      <w:tr w:rsidR="004B2A77" w:rsidRPr="00B05F8D" w14:paraId="4FD47035" w14:textId="77777777" w:rsidTr="00B45EB9">
        <w:trPr>
          <w:trHeight w:val="810"/>
        </w:trPr>
        <w:tc>
          <w:tcPr>
            <w:tcW w:w="648" w:type="dxa"/>
          </w:tcPr>
          <w:p w14:paraId="148F7B44" w14:textId="77777777" w:rsidR="004B2A77" w:rsidRPr="00B05F8D" w:rsidRDefault="004B2A77" w:rsidP="00B45EB9">
            <w:pPr>
              <w:jc w:val="right"/>
              <w:rPr>
                <w:rFonts w:ascii="Century Gothic" w:eastAsia="Calibri" w:hAnsi="Century Gothic" w:cstheme="majorHAnsi"/>
                <w:sz w:val="18"/>
                <w:szCs w:val="18"/>
              </w:rPr>
            </w:pPr>
            <w:r w:rsidRPr="00B05F8D">
              <w:rPr>
                <w:rFonts w:ascii="Century Gothic" w:hAnsi="Century Gothic" w:cstheme="minorHAnsi"/>
                <w:sz w:val="18"/>
                <w:szCs w:val="18"/>
              </w:rPr>
              <w:t>2</w:t>
            </w:r>
          </w:p>
        </w:tc>
        <w:tc>
          <w:tcPr>
            <w:tcW w:w="716" w:type="dxa"/>
          </w:tcPr>
          <w:p w14:paraId="5F789A98" w14:textId="77777777" w:rsidR="004B2A77" w:rsidRPr="00B05F8D" w:rsidRDefault="004B2A77" w:rsidP="00B45EB9">
            <w:pPr>
              <w:jc w:val="right"/>
              <w:rPr>
                <w:rFonts w:ascii="Century Gothic" w:eastAsia="Calibri" w:hAnsi="Century Gothic" w:cstheme="majorHAnsi"/>
                <w:sz w:val="18"/>
                <w:szCs w:val="18"/>
              </w:rPr>
            </w:pPr>
            <w:r w:rsidRPr="00B05F8D">
              <w:rPr>
                <w:rFonts w:ascii="Century Gothic" w:hAnsi="Century Gothic" w:cstheme="minorHAnsi"/>
                <w:sz w:val="18"/>
                <w:szCs w:val="18"/>
              </w:rPr>
              <w:t>2</w:t>
            </w:r>
          </w:p>
        </w:tc>
        <w:tc>
          <w:tcPr>
            <w:tcW w:w="1244" w:type="dxa"/>
          </w:tcPr>
          <w:p w14:paraId="30CFB095" w14:textId="77777777" w:rsidR="004B2A77" w:rsidRPr="00B05F8D" w:rsidRDefault="004B2A77" w:rsidP="00B45EB9">
            <w:pPr>
              <w:jc w:val="both"/>
              <w:rPr>
                <w:rFonts w:ascii="Century Gothic" w:eastAsia="Calibri" w:hAnsi="Century Gothic" w:cstheme="majorHAnsi"/>
                <w:sz w:val="18"/>
                <w:szCs w:val="18"/>
              </w:rPr>
            </w:pPr>
            <w:r w:rsidRPr="00B05F8D">
              <w:rPr>
                <w:rFonts w:ascii="Century Gothic" w:hAnsi="Century Gothic" w:cstheme="minorHAnsi"/>
                <w:sz w:val="18"/>
                <w:szCs w:val="18"/>
              </w:rPr>
              <w:t>39121017</w:t>
            </w:r>
          </w:p>
        </w:tc>
        <w:tc>
          <w:tcPr>
            <w:tcW w:w="1828" w:type="dxa"/>
          </w:tcPr>
          <w:p w14:paraId="2AB6052B" w14:textId="77777777" w:rsidR="004B2A77" w:rsidRPr="00B05F8D" w:rsidRDefault="004B2A77" w:rsidP="00B45EB9">
            <w:pPr>
              <w:jc w:val="both"/>
              <w:rPr>
                <w:rFonts w:ascii="Century Gothic" w:eastAsia="Calibri" w:hAnsi="Century Gothic" w:cstheme="majorHAnsi"/>
                <w:sz w:val="18"/>
                <w:szCs w:val="18"/>
                <w:lang w:val="es-US"/>
              </w:rPr>
            </w:pPr>
            <w:r w:rsidRPr="00B05F8D">
              <w:rPr>
                <w:rFonts w:ascii="Century Gothic" w:hAnsi="Century Gothic" w:cs="Calibri"/>
                <w:sz w:val="18"/>
                <w:szCs w:val="18"/>
              </w:rPr>
              <w:t>Unidades de Distribución de corriente vertical para rack de servidores de 200v</w:t>
            </w:r>
          </w:p>
        </w:tc>
        <w:tc>
          <w:tcPr>
            <w:tcW w:w="4339" w:type="dxa"/>
          </w:tcPr>
          <w:p w14:paraId="23F10F93"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Unidades de distribución de corriente vertical (PDU) </w:t>
            </w:r>
          </w:p>
          <w:p w14:paraId="71EF42C8"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Amperaje 32A </w:t>
            </w:r>
          </w:p>
          <w:p w14:paraId="02E1DE55"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Conexiones de salida</w:t>
            </w:r>
          </w:p>
          <w:p w14:paraId="2E1B171B" w14:textId="77777777" w:rsidR="004B2A77" w:rsidRPr="00B45EB9" w:rsidRDefault="004B2A77" w:rsidP="004B2A77">
            <w:pPr>
              <w:pStyle w:val="ListParagraph"/>
              <w:numPr>
                <w:ilvl w:val="1"/>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(6) IEC 60320 C19</w:t>
            </w:r>
          </w:p>
          <w:p w14:paraId="60523170" w14:textId="77777777" w:rsidR="004B2A77" w:rsidRPr="00B45EB9" w:rsidRDefault="004B2A77" w:rsidP="004B2A77">
            <w:pPr>
              <w:pStyle w:val="ListParagraph"/>
              <w:numPr>
                <w:ilvl w:val="1"/>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(20) IEC 60320 C13</w:t>
            </w:r>
          </w:p>
          <w:p w14:paraId="4C3F833B"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Voltaje de salida nominal 230V </w:t>
            </w:r>
          </w:p>
          <w:p w14:paraId="3B9A5DB4"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Voltaje Nominal de Entrada 230V</w:t>
            </w:r>
          </w:p>
          <w:p w14:paraId="2C09921E"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Tipo de Conexión de Entrada IEC 60309 32 A 2P + E </w:t>
            </w:r>
          </w:p>
          <w:p w14:paraId="06374691"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Longitud de Cable 3 metros </w:t>
            </w:r>
          </w:p>
          <w:p w14:paraId="119AEEF6"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Frecuencia de entrada 50/60 Hz </w:t>
            </w:r>
          </w:p>
          <w:p w14:paraId="7FCE1560"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Voltaje de Entrada Aceptable 230V</w:t>
            </w:r>
          </w:p>
          <w:p w14:paraId="2017050E"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240VAC - Número de cables de alimentación 1 </w:t>
            </w:r>
          </w:p>
          <w:p w14:paraId="2E29A342"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Capacidad de Carga 7400VA </w:t>
            </w:r>
          </w:p>
          <w:p w14:paraId="0E68E529"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Corriente máxima de entrada 32A </w:t>
            </w:r>
          </w:p>
          <w:p w14:paraId="692C02A0"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lastRenderedPageBreak/>
              <w:t>Corriente de entrada reducida reguladora (Norteamérica) 16ª</w:t>
            </w:r>
          </w:p>
          <w:p w14:paraId="586D9ED2" w14:textId="77777777" w:rsidR="004B2A77" w:rsidRPr="00B45EB9" w:rsidRDefault="004B2A77" w:rsidP="004B2A77">
            <w:pPr>
              <w:pStyle w:val="ListParagraph"/>
              <w:numPr>
                <w:ilvl w:val="0"/>
                <w:numId w:val="31"/>
              </w:numPr>
              <w:contextualSpacing w:val="0"/>
              <w:jc w:val="both"/>
              <w:rPr>
                <w:rFonts w:ascii="Century Gothic" w:eastAsia="Calibri" w:hAnsi="Century Gothic" w:cstheme="majorHAnsi"/>
                <w:sz w:val="18"/>
                <w:szCs w:val="18"/>
                <w:lang w:val="es-US"/>
              </w:rPr>
            </w:pPr>
            <w:r w:rsidRPr="00B45EB9">
              <w:rPr>
                <w:rFonts w:ascii="Century Gothic" w:hAnsi="Century Gothic" w:cs="Calibri"/>
                <w:color w:val="000000"/>
                <w:sz w:val="18"/>
                <w:szCs w:val="18"/>
              </w:rPr>
              <w:t>Marca de Origen en Estados Unidos</w:t>
            </w:r>
          </w:p>
        </w:tc>
        <w:tc>
          <w:tcPr>
            <w:tcW w:w="1666" w:type="dxa"/>
          </w:tcPr>
          <w:p w14:paraId="0072D14F" w14:textId="77777777" w:rsidR="004B2A77" w:rsidRPr="00B05F8D" w:rsidDel="00064B96" w:rsidRDefault="004B2A77" w:rsidP="00B45EB9">
            <w:pPr>
              <w:jc w:val="both"/>
              <w:rPr>
                <w:rFonts w:ascii="Century Gothic" w:hAnsi="Century Gothic" w:cstheme="minorHAnsi"/>
                <w:sz w:val="18"/>
                <w:szCs w:val="18"/>
              </w:rPr>
            </w:pPr>
            <w:r w:rsidRPr="00B05F8D">
              <w:rPr>
                <w:rFonts w:ascii="Century Gothic" w:hAnsi="Century Gothic" w:cs="Calibri"/>
                <w:color w:val="000000"/>
                <w:sz w:val="18"/>
                <w:szCs w:val="18"/>
              </w:rPr>
              <w:lastRenderedPageBreak/>
              <w:t>2 años de reparación y garantía</w:t>
            </w:r>
          </w:p>
        </w:tc>
      </w:tr>
      <w:tr w:rsidR="004B2A77" w:rsidRPr="00B05F8D" w14:paraId="29D19439" w14:textId="77777777" w:rsidTr="00B45EB9">
        <w:trPr>
          <w:trHeight w:val="810"/>
        </w:trPr>
        <w:tc>
          <w:tcPr>
            <w:tcW w:w="648" w:type="dxa"/>
          </w:tcPr>
          <w:p w14:paraId="23E1770D" w14:textId="77777777" w:rsidR="004B2A77" w:rsidRPr="00B05F8D" w:rsidRDefault="004B2A77" w:rsidP="00B45EB9">
            <w:pPr>
              <w:jc w:val="right"/>
              <w:rPr>
                <w:rFonts w:ascii="Century Gothic" w:hAnsi="Century Gothic" w:cstheme="minorHAnsi"/>
                <w:sz w:val="18"/>
                <w:szCs w:val="18"/>
              </w:rPr>
            </w:pPr>
            <w:r w:rsidRPr="00B05F8D">
              <w:rPr>
                <w:rFonts w:ascii="Century Gothic" w:hAnsi="Century Gothic" w:cstheme="minorHAnsi"/>
                <w:sz w:val="18"/>
                <w:szCs w:val="18"/>
              </w:rPr>
              <w:lastRenderedPageBreak/>
              <w:t>3</w:t>
            </w:r>
          </w:p>
        </w:tc>
        <w:tc>
          <w:tcPr>
            <w:tcW w:w="716" w:type="dxa"/>
          </w:tcPr>
          <w:p w14:paraId="1BA0EBD7" w14:textId="77777777" w:rsidR="004B2A77" w:rsidRPr="00B05F8D" w:rsidRDefault="004B2A77" w:rsidP="00B45EB9">
            <w:pPr>
              <w:jc w:val="right"/>
              <w:rPr>
                <w:rFonts w:ascii="Century Gothic" w:hAnsi="Century Gothic" w:cstheme="minorHAnsi"/>
                <w:sz w:val="18"/>
                <w:szCs w:val="18"/>
              </w:rPr>
            </w:pPr>
            <w:r w:rsidRPr="00B05F8D">
              <w:rPr>
                <w:rFonts w:ascii="Century Gothic" w:hAnsi="Century Gothic" w:cstheme="minorHAnsi"/>
                <w:sz w:val="18"/>
                <w:szCs w:val="18"/>
              </w:rPr>
              <w:t>2</w:t>
            </w:r>
          </w:p>
        </w:tc>
        <w:tc>
          <w:tcPr>
            <w:tcW w:w="1244" w:type="dxa"/>
          </w:tcPr>
          <w:p w14:paraId="078460D7" w14:textId="77777777" w:rsidR="004B2A77" w:rsidRPr="00B05F8D" w:rsidRDefault="004B2A77" w:rsidP="00B45EB9">
            <w:pPr>
              <w:jc w:val="both"/>
              <w:rPr>
                <w:rFonts w:ascii="Century Gothic" w:hAnsi="Century Gothic" w:cstheme="minorHAnsi"/>
                <w:sz w:val="18"/>
                <w:szCs w:val="18"/>
              </w:rPr>
            </w:pPr>
            <w:r w:rsidRPr="00B05F8D">
              <w:rPr>
                <w:rFonts w:ascii="Century Gothic" w:hAnsi="Century Gothic" w:cstheme="minorHAnsi"/>
                <w:sz w:val="18"/>
                <w:szCs w:val="18"/>
              </w:rPr>
              <w:t>39121004</w:t>
            </w:r>
          </w:p>
        </w:tc>
        <w:tc>
          <w:tcPr>
            <w:tcW w:w="1828" w:type="dxa"/>
          </w:tcPr>
          <w:p w14:paraId="7C83C163" w14:textId="77777777" w:rsidR="004B2A77" w:rsidRPr="00B05F8D" w:rsidDel="00064B96" w:rsidRDefault="004B2A77" w:rsidP="00B45EB9">
            <w:pPr>
              <w:jc w:val="both"/>
              <w:rPr>
                <w:rFonts w:ascii="Century Gothic" w:hAnsi="Century Gothic" w:cstheme="minorHAnsi"/>
                <w:sz w:val="18"/>
                <w:szCs w:val="18"/>
              </w:rPr>
            </w:pPr>
            <w:r w:rsidRPr="00B05F8D">
              <w:rPr>
                <w:rFonts w:ascii="Century Gothic" w:hAnsi="Century Gothic" w:cs="Calibri"/>
                <w:sz w:val="18"/>
                <w:szCs w:val="18"/>
              </w:rPr>
              <w:t>UPS de 15 Kva Sinusoidal</w:t>
            </w:r>
          </w:p>
        </w:tc>
        <w:tc>
          <w:tcPr>
            <w:tcW w:w="4339" w:type="dxa"/>
          </w:tcPr>
          <w:p w14:paraId="659EF663"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UPS de 15 Kva Sinusoidal</w:t>
            </w:r>
          </w:p>
          <w:p w14:paraId="1E5F24E2"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true online </w:t>
            </w:r>
          </w:p>
          <w:p w14:paraId="4316C1AD"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208/120 VAC de salida </w:t>
            </w:r>
          </w:p>
          <w:p w14:paraId="5B10DFF0"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Fabricación Americana </w:t>
            </w:r>
          </w:p>
          <w:p w14:paraId="316BEF14"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autonomía del sistema de UPS debe ser mínimo de 20 minutos al 70% de la carga conectada </w:t>
            </w:r>
          </w:p>
          <w:p w14:paraId="14BF9388"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Incluye materiales, accesorios, instalación, conexión y arranque a todo costo</w:t>
            </w:r>
            <w:r w:rsidRPr="00B45EB9">
              <w:rPr>
                <w:rFonts w:ascii="Century Gothic" w:hAnsi="Century Gothic" w:cs="Calibri"/>
                <w:b/>
                <w:color w:val="000000"/>
                <w:sz w:val="18"/>
                <w:szCs w:val="18"/>
              </w:rPr>
              <w:t xml:space="preserve"> (CON MATERIALES E INSTALACION INCLUIDA) </w:t>
            </w:r>
          </w:p>
          <w:p w14:paraId="148B83E7"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será realizada la instalación: dirección nuevo local. </w:t>
            </w:r>
          </w:p>
          <w:p w14:paraId="474FF0EF"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Tiempo de entrega e instalación no debe ser mayor a 30 días calendario siguientes a la fecha de firma del contrato</w:t>
            </w:r>
          </w:p>
          <w:p w14:paraId="60DAED9E" w14:textId="77777777" w:rsidR="004B2A77" w:rsidRPr="00B45EB9" w:rsidRDefault="004B2A77" w:rsidP="004B2A77">
            <w:pPr>
              <w:pStyle w:val="ListParagraph"/>
              <w:numPr>
                <w:ilvl w:val="0"/>
                <w:numId w:val="31"/>
              </w:numPr>
              <w:contextualSpacing w:val="0"/>
              <w:jc w:val="both"/>
              <w:rPr>
                <w:rFonts w:ascii="Century Gothic" w:hAnsi="Century Gothic" w:cs="Calibri"/>
                <w:color w:val="000000"/>
                <w:sz w:val="18"/>
                <w:szCs w:val="18"/>
              </w:rPr>
            </w:pPr>
            <w:r w:rsidRPr="00B45EB9">
              <w:rPr>
                <w:rFonts w:ascii="Century Gothic" w:hAnsi="Century Gothic" w:cs="Calibri"/>
                <w:color w:val="000000"/>
                <w:sz w:val="18"/>
                <w:szCs w:val="18"/>
              </w:rPr>
              <w:t xml:space="preserve">Marca de Origen en Estados Unidos </w:t>
            </w:r>
          </w:p>
          <w:p w14:paraId="49DABCB6" w14:textId="77777777" w:rsidR="004B2A77" w:rsidRPr="00B45EB9" w:rsidDel="00064B96" w:rsidRDefault="004B2A77" w:rsidP="004B2A77">
            <w:pPr>
              <w:pStyle w:val="ListParagraph"/>
              <w:numPr>
                <w:ilvl w:val="0"/>
                <w:numId w:val="31"/>
              </w:numPr>
              <w:contextualSpacing w:val="0"/>
              <w:jc w:val="both"/>
              <w:rPr>
                <w:rFonts w:ascii="Century Gothic" w:hAnsi="Century Gothic" w:cstheme="minorHAnsi"/>
                <w:sz w:val="18"/>
                <w:szCs w:val="18"/>
              </w:rPr>
            </w:pPr>
            <w:r w:rsidRPr="00B45EB9">
              <w:rPr>
                <w:rFonts w:ascii="Century Gothic" w:hAnsi="Century Gothic" w:cs="Calibri"/>
                <w:color w:val="000000"/>
                <w:sz w:val="18"/>
                <w:szCs w:val="18"/>
              </w:rPr>
              <w:t>Proveedor autorizado de la Marca</w:t>
            </w:r>
          </w:p>
        </w:tc>
        <w:tc>
          <w:tcPr>
            <w:tcW w:w="1666" w:type="dxa"/>
          </w:tcPr>
          <w:p w14:paraId="678664B0" w14:textId="77777777" w:rsidR="004B2A77" w:rsidRPr="00B05F8D" w:rsidDel="00064B96" w:rsidRDefault="004B2A77" w:rsidP="00B45EB9">
            <w:pPr>
              <w:jc w:val="both"/>
              <w:rPr>
                <w:rFonts w:ascii="Century Gothic" w:hAnsi="Century Gothic" w:cstheme="minorHAnsi"/>
                <w:sz w:val="18"/>
                <w:szCs w:val="18"/>
              </w:rPr>
            </w:pPr>
            <w:r w:rsidRPr="00B05F8D">
              <w:rPr>
                <w:rFonts w:ascii="Century Gothic" w:hAnsi="Century Gothic" w:cs="Calibri"/>
                <w:color w:val="000000"/>
                <w:sz w:val="18"/>
                <w:szCs w:val="18"/>
              </w:rPr>
              <w:t>1 año de reparación y garantía</w:t>
            </w:r>
          </w:p>
        </w:tc>
      </w:tr>
      <w:tr w:rsidR="004B2A77" w:rsidRPr="00B05F8D" w14:paraId="7B6A3B18" w14:textId="77777777" w:rsidTr="00B45EB9">
        <w:trPr>
          <w:trHeight w:val="810"/>
        </w:trPr>
        <w:tc>
          <w:tcPr>
            <w:tcW w:w="648" w:type="dxa"/>
          </w:tcPr>
          <w:p w14:paraId="683011D7" w14:textId="77777777" w:rsidR="004B2A77" w:rsidRPr="00B05F8D" w:rsidRDefault="004B2A77" w:rsidP="00B45EB9">
            <w:pPr>
              <w:jc w:val="right"/>
              <w:rPr>
                <w:rFonts w:ascii="Century Gothic" w:hAnsi="Century Gothic" w:cstheme="minorHAnsi"/>
                <w:sz w:val="18"/>
                <w:szCs w:val="18"/>
              </w:rPr>
            </w:pPr>
            <w:r w:rsidRPr="00B05F8D">
              <w:rPr>
                <w:rFonts w:ascii="Century Gothic" w:hAnsi="Century Gothic" w:cstheme="minorHAnsi"/>
                <w:sz w:val="18"/>
                <w:szCs w:val="18"/>
              </w:rPr>
              <w:t>4</w:t>
            </w:r>
          </w:p>
        </w:tc>
        <w:tc>
          <w:tcPr>
            <w:tcW w:w="716" w:type="dxa"/>
          </w:tcPr>
          <w:p w14:paraId="17295BB8" w14:textId="77777777" w:rsidR="004B2A77" w:rsidRPr="00B05F8D" w:rsidRDefault="004B2A77" w:rsidP="00B45EB9">
            <w:pPr>
              <w:jc w:val="right"/>
              <w:rPr>
                <w:rFonts w:ascii="Century Gothic" w:hAnsi="Century Gothic" w:cstheme="minorHAnsi"/>
                <w:sz w:val="18"/>
                <w:szCs w:val="18"/>
              </w:rPr>
            </w:pPr>
            <w:r w:rsidRPr="00B05F8D">
              <w:rPr>
                <w:rFonts w:ascii="Century Gothic" w:hAnsi="Century Gothic" w:cstheme="minorHAnsi"/>
                <w:sz w:val="18"/>
                <w:szCs w:val="18"/>
              </w:rPr>
              <w:t>2</w:t>
            </w:r>
          </w:p>
        </w:tc>
        <w:tc>
          <w:tcPr>
            <w:tcW w:w="1244" w:type="dxa"/>
          </w:tcPr>
          <w:p w14:paraId="28B069ED" w14:textId="77777777" w:rsidR="004B2A77" w:rsidRPr="00B05F8D" w:rsidRDefault="004B2A77" w:rsidP="00B45EB9">
            <w:pPr>
              <w:jc w:val="both"/>
              <w:rPr>
                <w:rFonts w:ascii="Century Gothic" w:hAnsi="Century Gothic" w:cstheme="minorHAnsi"/>
                <w:sz w:val="18"/>
                <w:szCs w:val="18"/>
              </w:rPr>
            </w:pPr>
            <w:r w:rsidRPr="00B05F8D">
              <w:rPr>
                <w:rFonts w:ascii="Century Gothic" w:hAnsi="Century Gothic" w:cstheme="minorHAnsi"/>
                <w:sz w:val="18"/>
                <w:szCs w:val="18"/>
              </w:rPr>
              <w:t>39121004</w:t>
            </w:r>
          </w:p>
        </w:tc>
        <w:tc>
          <w:tcPr>
            <w:tcW w:w="1828" w:type="dxa"/>
          </w:tcPr>
          <w:p w14:paraId="12DC78E6" w14:textId="77777777" w:rsidR="004B2A77" w:rsidRPr="00B05F8D" w:rsidDel="00064B96" w:rsidRDefault="004B2A77" w:rsidP="00B45EB9">
            <w:pPr>
              <w:jc w:val="both"/>
              <w:rPr>
                <w:rFonts w:ascii="Century Gothic" w:hAnsi="Century Gothic" w:cstheme="minorHAnsi"/>
                <w:sz w:val="18"/>
                <w:szCs w:val="18"/>
              </w:rPr>
            </w:pPr>
            <w:r w:rsidRPr="00B05F8D">
              <w:rPr>
                <w:rFonts w:ascii="Century Gothic" w:hAnsi="Century Gothic" w:cs="Calibri"/>
                <w:sz w:val="18"/>
                <w:szCs w:val="18"/>
              </w:rPr>
              <w:t>UPS de 3Kva Sinusoidal</w:t>
            </w:r>
          </w:p>
        </w:tc>
        <w:tc>
          <w:tcPr>
            <w:tcW w:w="4339" w:type="dxa"/>
          </w:tcPr>
          <w:p w14:paraId="2F16D431"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UPS de 3Kva Sinusoidal</w:t>
            </w:r>
          </w:p>
          <w:p w14:paraId="19D71DF7"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3000VA-2700W, </w:t>
            </w:r>
          </w:p>
          <w:p w14:paraId="6CA54F1D"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 xml:space="preserve">6 x nema 5, 20+1 nema 5 30R. </w:t>
            </w:r>
          </w:p>
          <w:p w14:paraId="1CD90931"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lang w:val="en-US"/>
              </w:rPr>
            </w:pPr>
            <w:r w:rsidRPr="00B45EB9">
              <w:rPr>
                <w:rFonts w:ascii="Century Gothic" w:hAnsi="Century Gothic" w:cs="Calibri"/>
                <w:color w:val="000000"/>
                <w:sz w:val="18"/>
                <w:szCs w:val="18"/>
                <w:lang w:val="en-US"/>
              </w:rPr>
              <w:t xml:space="preserve">True On-Line Pure Sinewave Double Conversion Smart UPS. </w:t>
            </w:r>
          </w:p>
          <w:p w14:paraId="4D4267CE"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lang w:val="en-US"/>
              </w:rPr>
            </w:pPr>
            <w:r w:rsidRPr="00B45EB9">
              <w:rPr>
                <w:rFonts w:ascii="Century Gothic" w:hAnsi="Century Gothic" w:cs="Calibri"/>
                <w:color w:val="000000"/>
                <w:sz w:val="18"/>
                <w:szCs w:val="18"/>
                <w:lang w:val="en-US"/>
              </w:rPr>
              <w:t>Load level, Battery level, Output current, Dry Contact Replay. Input Voltage 55-150 VAC. Output Voltage 100/110/115/120/127 VAC</w:t>
            </w:r>
          </w:p>
          <w:p w14:paraId="07951CDC"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Incluye materiales, accesorios, instalación, conexión y arranque a todo costo</w:t>
            </w:r>
            <w:r w:rsidRPr="00B45EB9">
              <w:rPr>
                <w:rFonts w:ascii="Century Gothic" w:hAnsi="Century Gothic" w:cs="Calibri"/>
                <w:b/>
                <w:color w:val="000000"/>
                <w:sz w:val="18"/>
                <w:szCs w:val="18"/>
              </w:rPr>
              <w:t xml:space="preserve"> (CON MATERIALES E INSTALACION INCLUIDA) </w:t>
            </w:r>
          </w:p>
          <w:p w14:paraId="7E80E149" w14:textId="77777777" w:rsidR="004B2A77" w:rsidRPr="00B45EB9" w:rsidRDefault="004B2A77" w:rsidP="004B2A77">
            <w:pPr>
              <w:pStyle w:val="ListParagraph"/>
              <w:numPr>
                <w:ilvl w:val="0"/>
                <w:numId w:val="31"/>
              </w:numPr>
              <w:contextualSpacing w:val="0"/>
              <w:rPr>
                <w:rFonts w:ascii="Century Gothic" w:hAnsi="Century Gothic" w:cs="Calibri"/>
                <w:color w:val="000000"/>
                <w:sz w:val="18"/>
                <w:szCs w:val="18"/>
              </w:rPr>
            </w:pPr>
            <w:r w:rsidRPr="00B45EB9">
              <w:rPr>
                <w:rFonts w:ascii="Century Gothic" w:hAnsi="Century Gothic" w:cs="Calibri"/>
                <w:color w:val="000000"/>
                <w:sz w:val="18"/>
                <w:szCs w:val="18"/>
              </w:rPr>
              <w:t>Marca de Origen en Estados Unidos</w:t>
            </w:r>
          </w:p>
          <w:p w14:paraId="314FA4A8" w14:textId="77777777" w:rsidR="004B2A77" w:rsidRPr="00B45EB9" w:rsidDel="00064B96" w:rsidRDefault="004B2A77" w:rsidP="004B2A77">
            <w:pPr>
              <w:pStyle w:val="ListParagraph"/>
              <w:numPr>
                <w:ilvl w:val="0"/>
                <w:numId w:val="31"/>
              </w:numPr>
              <w:contextualSpacing w:val="0"/>
              <w:jc w:val="both"/>
              <w:rPr>
                <w:rFonts w:ascii="Century Gothic" w:hAnsi="Century Gothic" w:cstheme="minorHAnsi"/>
                <w:sz w:val="18"/>
                <w:szCs w:val="18"/>
              </w:rPr>
            </w:pPr>
            <w:r w:rsidRPr="00B45EB9">
              <w:rPr>
                <w:rFonts w:ascii="Century Gothic" w:hAnsi="Century Gothic" w:cs="Calibri"/>
                <w:color w:val="000000"/>
                <w:sz w:val="18"/>
                <w:szCs w:val="18"/>
              </w:rPr>
              <w:t>Proveedor autorizado de la Marca</w:t>
            </w:r>
          </w:p>
        </w:tc>
        <w:tc>
          <w:tcPr>
            <w:tcW w:w="1666" w:type="dxa"/>
          </w:tcPr>
          <w:p w14:paraId="576C93AD" w14:textId="77777777" w:rsidR="004B2A77" w:rsidRPr="00B05F8D" w:rsidDel="00064B96" w:rsidRDefault="004B2A77" w:rsidP="00B45EB9">
            <w:pPr>
              <w:jc w:val="both"/>
              <w:rPr>
                <w:rFonts w:ascii="Century Gothic" w:hAnsi="Century Gothic" w:cstheme="minorHAnsi"/>
                <w:sz w:val="18"/>
                <w:szCs w:val="18"/>
              </w:rPr>
            </w:pPr>
            <w:r w:rsidRPr="00B05F8D">
              <w:rPr>
                <w:rFonts w:ascii="Century Gothic" w:hAnsi="Century Gothic" w:cs="Calibri"/>
                <w:color w:val="000000"/>
                <w:sz w:val="18"/>
                <w:szCs w:val="18"/>
              </w:rPr>
              <w:t>1 año de reparación y garantía</w:t>
            </w:r>
          </w:p>
        </w:tc>
      </w:tr>
      <w:bookmarkEnd w:id="6"/>
    </w:tbl>
    <w:p w14:paraId="24B6353C" w14:textId="7D24F45F" w:rsidR="002274A7" w:rsidRDefault="002274A7" w:rsidP="007E6F3C">
      <w:pPr>
        <w:jc w:val="both"/>
        <w:rPr>
          <w:rFonts w:asciiTheme="majorHAnsi" w:hAnsiTheme="majorHAnsi" w:cstheme="majorHAnsi"/>
          <w:b/>
          <w:sz w:val="18"/>
          <w:szCs w:val="18"/>
          <w:u w:val="single"/>
        </w:rPr>
      </w:pPr>
    </w:p>
    <w:tbl>
      <w:tblPr>
        <w:tblStyle w:val="TableGrid"/>
        <w:tblW w:w="1895" w:type="dxa"/>
        <w:tblInd w:w="-289" w:type="dxa"/>
        <w:tblLayout w:type="fixed"/>
        <w:tblLook w:val="04A0" w:firstRow="1" w:lastRow="0" w:firstColumn="1" w:lastColumn="0" w:noHBand="0" w:noVBand="1"/>
      </w:tblPr>
      <w:tblGrid>
        <w:gridCol w:w="1895"/>
      </w:tblGrid>
      <w:tr w:rsidR="002274A7" w:rsidRPr="00C706D0" w14:paraId="2C127456" w14:textId="77777777" w:rsidTr="004B2A77">
        <w:trPr>
          <w:trHeight w:val="296"/>
          <w:tblHeader/>
        </w:trPr>
        <w:tc>
          <w:tcPr>
            <w:tcW w:w="1895" w:type="dxa"/>
            <w:shd w:val="clear" w:color="auto" w:fill="002060"/>
          </w:tcPr>
          <w:p w14:paraId="75BB4351" w14:textId="77777777" w:rsidR="002274A7" w:rsidRPr="00C706D0" w:rsidRDefault="002274A7" w:rsidP="008F0B30">
            <w:pPr>
              <w:jc w:val="center"/>
              <w:rPr>
                <w:rFonts w:ascii="Century Gothic" w:hAnsi="Century Gothic" w:cs="Calibri Light"/>
                <w:b/>
                <w:bCs/>
                <w:sz w:val="18"/>
              </w:rPr>
            </w:pPr>
            <w:bookmarkStart w:id="7" w:name="_Hlk106377717"/>
          </w:p>
        </w:tc>
      </w:tr>
      <w:bookmarkEnd w:id="7"/>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lastRenderedPageBreak/>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4B2A77">
        <w:rPr>
          <w:rFonts w:asciiTheme="minorHAnsi" w:hAnsiTheme="minorHAnsi" w:cs="Calibri"/>
          <w:b/>
          <w:color w:val="000000"/>
          <w:lang w:val="es-DO"/>
        </w:rPr>
        <w:t>VIGENCIA</w:t>
      </w:r>
      <w:r w:rsidR="00436C72" w:rsidRPr="004B2A77">
        <w:rPr>
          <w:rFonts w:asciiTheme="minorHAnsi" w:hAnsiTheme="minorHAnsi" w:cs="Calibri"/>
          <w:color w:val="000000"/>
          <w:lang w:val="es-DO"/>
        </w:rPr>
        <w:t xml:space="preserve">: </w:t>
      </w:r>
      <w:r w:rsidR="009A4D86" w:rsidRPr="004B2A77">
        <w:rPr>
          <w:rFonts w:asciiTheme="minorHAnsi" w:hAnsiTheme="minorHAnsi" w:cs="Calibri"/>
          <w:color w:val="000000"/>
          <w:lang w:val="es-DO"/>
        </w:rPr>
        <w:t xml:space="preserve">El presente Contrato de suministro </w:t>
      </w:r>
      <w:r w:rsidR="002B5AAF" w:rsidRPr="004B2A77">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8"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8"/>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9" w:name="_Hlk60819380"/>
      <w:r w:rsidRPr="00A37913">
        <w:rPr>
          <w:rFonts w:asciiTheme="minorHAnsi" w:hAnsiTheme="minorHAnsi" w:cstheme="minorHAnsi"/>
          <w:b/>
          <w:bCs/>
          <w:color w:val="000000"/>
          <w:lang w:val="es-DO"/>
        </w:rPr>
        <w:t>LA ENTIDAD CONTRATANTE</w:t>
      </w:r>
      <w:bookmarkEnd w:id="9"/>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2277331A"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4B2A77">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4B2A77">
              <w:rPr>
                <w:b/>
                <w:bCs/>
                <w:noProof/>
              </w:rPr>
              <w:t>8</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4A7"/>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B2A77"/>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rsid w:val="00765EAE"/>
    <w:pPr>
      <w:tabs>
        <w:tab w:val="center" w:pos="4252"/>
        <w:tab w:val="right" w:pos="8504"/>
      </w:tabs>
    </w:pPr>
  </w:style>
  <w:style w:type="character" w:customStyle="1" w:styleId="FooterChar">
    <w:name w:val="Footer Char"/>
    <w:basedOn w:val="DefaultParagraphFont"/>
    <w:link w:val="Footer"/>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22265"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35"/>
    <w:rsid w:val="00322265"/>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35"/>
    <w:rPr>
      <w:color w:val="808080"/>
    </w:rPr>
  </w:style>
  <w:style w:type="paragraph" w:customStyle="1" w:styleId="68E0F445F36F4451B29C550EFC9B26A4">
    <w:name w:val="68E0F445F36F4451B29C550EFC9B26A4"/>
    <w:rsid w:val="009E3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90A10-8652-4AE3-B3B1-E728C5BB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2718</Words>
  <Characters>15397</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2022-07-29T18:30:00Z</dcterms:created>
  <dcterms:modified xsi:type="dcterms:W3CDTF">2022-07-29T18:30:00Z</dcterms:modified>
</cp:coreProperties>
</file>