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1FABC956" w:rsidR="006D4BEA" w:rsidRPr="005C3607" w:rsidRDefault="00526AD7" w:rsidP="00BB6091">
      <w:pPr>
        <w:jc w:val="both"/>
        <w:rPr>
          <w:rFonts w:asciiTheme="minorHAnsi" w:hAnsiTheme="minorHAnsi" w:cs="Calibri"/>
          <w:b/>
          <w:color w:val="000000"/>
          <w:lang w:val="es-DO"/>
        </w:rPr>
      </w:pPr>
      <w:sdt>
        <w:sdtPr>
          <w:rPr>
            <w:rFonts w:ascii="Arial" w:eastAsia="Calibri" w:hAnsi="Arial" w:cs="Arial"/>
            <w:b/>
            <w:szCs w:val="18"/>
            <w:lang w:val="es-ES"/>
          </w:rPr>
          <w:alias w:val="Indicar Objeto de la Compra"/>
          <w:tag w:val="Indicar Objeto de la Compra"/>
          <w:id w:val="4716297"/>
          <w:placeholder>
            <w:docPart w:val="F537FF6966DB449BAF497F68638A815E"/>
          </w:placeholder>
        </w:sdtPr>
        <w:sdtEndPr>
          <w:rPr>
            <w:sz w:val="20"/>
          </w:rPr>
        </w:sdtEndPr>
        <w:sdtContent>
          <w:r w:rsidR="008E4846" w:rsidRPr="005B2020">
            <w:rPr>
              <w:rFonts w:ascii="Arial" w:eastAsia="Calibri" w:hAnsi="Arial" w:cs="Arial"/>
              <w:b/>
              <w:sz w:val="20"/>
              <w:szCs w:val="18"/>
              <w:lang w:val="es-ES"/>
            </w:rPr>
            <w:t>Plataforma Tecnológica para la Gestión de Cobranza de las Obligaciones del SDSS a Empleadores Morosos</w:t>
          </w:r>
        </w:sdtContent>
      </w:sdt>
      <w:r w:rsidR="00EA403A">
        <w:rPr>
          <w:rFonts w:asciiTheme="minorHAnsi" w:hAnsiTheme="minorHAnsi" w:cs="Calibri"/>
          <w:b/>
          <w:color w:val="000000"/>
          <w:lang w:val="es-DO"/>
        </w:rPr>
        <w:t xml:space="preserve">DE LA </w:t>
      </w:r>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4A6C6B6F"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B47F5AF"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FE36B0">
        <w:rPr>
          <w:rFonts w:asciiTheme="minorHAnsi" w:hAnsiTheme="minorHAnsi" w:cstheme="minorHAnsi"/>
          <w:b/>
          <w:bCs/>
        </w:rPr>
        <w:t>1</w:t>
      </w:r>
      <w:r w:rsidR="00F3638A" w:rsidRPr="00F3638A">
        <w:rPr>
          <w:rFonts w:asciiTheme="minorHAnsi" w:hAnsiTheme="minorHAnsi" w:cstheme="minorHAnsi"/>
          <w:b/>
          <w:bCs/>
        </w:rPr>
        <w:t>-</w:t>
      </w:r>
      <w:bookmarkStart w:id="4" w:name="_GoBack"/>
      <w:bookmarkEnd w:id="4"/>
      <w:r w:rsidR="00F3638A" w:rsidRPr="00526AD7">
        <w:rPr>
          <w:rFonts w:asciiTheme="minorHAnsi" w:hAnsiTheme="minorHAnsi" w:cstheme="minorHAnsi"/>
          <w:b/>
          <w:bCs/>
          <w:highlight w:val="yellow"/>
        </w:rPr>
        <w:t>00</w:t>
      </w:r>
      <w:r w:rsidR="00526AD7" w:rsidRPr="00526AD7">
        <w:rPr>
          <w:rFonts w:asciiTheme="minorHAnsi" w:hAnsiTheme="minorHAnsi" w:cstheme="minorHAnsi"/>
          <w:b/>
          <w:bCs/>
          <w:highlight w:val="yellow"/>
        </w:rPr>
        <w:t>17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279C0F1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014743B3" w14:textId="77777777" w:rsidR="00FE36B0" w:rsidRPr="009172D6" w:rsidRDefault="00FE36B0" w:rsidP="005C3607">
      <w:pPr>
        <w:jc w:val="both"/>
        <w:rPr>
          <w:rFonts w:asciiTheme="minorHAnsi" w:hAnsiTheme="minorHAnsi" w:cs="Calibri"/>
          <w:b/>
          <w:color w:val="000000"/>
          <w:sz w:val="12"/>
          <w:szCs w:val="12"/>
        </w:rPr>
      </w:pPr>
    </w:p>
    <w:p w14:paraId="437CA557" w14:textId="256E3EDE" w:rsidR="008E4846" w:rsidRPr="008E4846" w:rsidRDefault="00D017C1" w:rsidP="008E4846">
      <w:pPr>
        <w:ind w:left="540"/>
        <w:jc w:val="both"/>
        <w:rPr>
          <w:rFonts w:asciiTheme="minorHAnsi" w:hAnsiTheme="minorHAnsi" w:cstheme="majorHAnsi"/>
          <w:lang w:val="es-US"/>
        </w:rPr>
      </w:pPr>
      <w:r w:rsidRPr="008E4846">
        <w:rPr>
          <w:rFonts w:asciiTheme="minorHAnsi" w:hAnsiTheme="minorHAnsi" w:cs="Calibri"/>
          <w:b/>
          <w:color w:val="000000"/>
          <w:lang w:val="es-DO"/>
        </w:rPr>
        <w:t>A</w:t>
      </w:r>
      <w:r w:rsidR="006D4BEA" w:rsidRPr="008E4846">
        <w:rPr>
          <w:rFonts w:asciiTheme="minorHAnsi" w:hAnsiTheme="minorHAnsi" w:cs="Calibri"/>
          <w:b/>
          <w:color w:val="000000"/>
          <w:lang w:val="es-DO"/>
        </w:rPr>
        <w:t>RTÍCULO 4</w:t>
      </w:r>
      <w:r w:rsidR="008E4846" w:rsidRPr="008E4846">
        <w:rPr>
          <w:rFonts w:asciiTheme="minorHAnsi" w:hAnsiTheme="minorHAnsi" w:cstheme="majorHAnsi"/>
          <w:lang w:val="es-US"/>
        </w:rPr>
        <w:t xml:space="preserve"> La plataforma tecnológica deberá contar </w:t>
      </w:r>
      <w:r w:rsidR="008E4846" w:rsidRPr="008E4846">
        <w:rPr>
          <w:rFonts w:asciiTheme="minorHAnsi" w:hAnsiTheme="minorHAnsi" w:cstheme="majorHAnsi"/>
          <w:b/>
          <w:u w:val="single"/>
          <w:lang w:val="es-US"/>
        </w:rPr>
        <w:t>como mínimo</w:t>
      </w:r>
      <w:r w:rsidR="008E4846" w:rsidRPr="008E4846">
        <w:rPr>
          <w:rFonts w:asciiTheme="minorHAnsi" w:hAnsiTheme="minorHAnsi" w:cstheme="majorHAnsi"/>
          <w:lang w:val="es-US"/>
        </w:rPr>
        <w:t xml:space="preserve"> y no limitativo con las siguientes funcionalidades:</w:t>
      </w:r>
    </w:p>
    <w:p w14:paraId="1FDFC53D" w14:textId="77777777" w:rsidR="008E4846" w:rsidRPr="008E4846" w:rsidRDefault="008E4846" w:rsidP="008E4846">
      <w:pPr>
        <w:ind w:left="540"/>
        <w:jc w:val="both"/>
        <w:rPr>
          <w:rFonts w:asciiTheme="minorHAnsi" w:hAnsiTheme="minorHAnsi" w:cstheme="majorHAnsi"/>
          <w:b/>
          <w:lang w:val="es-US"/>
        </w:rPr>
      </w:pPr>
    </w:p>
    <w:p w14:paraId="669E6556" w14:textId="77777777" w:rsidR="008E4846" w:rsidRPr="008E4846" w:rsidRDefault="008E4846" w:rsidP="008E4846">
      <w:pPr>
        <w:ind w:left="540"/>
        <w:jc w:val="both"/>
        <w:rPr>
          <w:rFonts w:asciiTheme="minorHAnsi" w:hAnsiTheme="minorHAnsi" w:cstheme="majorHAnsi"/>
          <w:b/>
          <w:lang w:val="es-US"/>
        </w:rPr>
      </w:pPr>
      <w:r w:rsidRPr="008E4846">
        <w:rPr>
          <w:rFonts w:asciiTheme="minorHAnsi" w:hAnsiTheme="minorHAnsi" w:cstheme="majorHAnsi"/>
          <w:b/>
          <w:lang w:val="es-US"/>
        </w:rPr>
        <w:t>Funcionalidades Básicas</w:t>
      </w:r>
    </w:p>
    <w:p w14:paraId="65A28C93" w14:textId="77777777" w:rsidR="008E4846" w:rsidRPr="008E4846" w:rsidRDefault="008E4846" w:rsidP="008E4846">
      <w:pPr>
        <w:numPr>
          <w:ilvl w:val="0"/>
          <w:numId w:val="33"/>
        </w:numPr>
        <w:jc w:val="both"/>
        <w:rPr>
          <w:rFonts w:asciiTheme="minorHAnsi" w:hAnsiTheme="minorHAnsi" w:cstheme="majorHAnsi"/>
          <w:lang w:val="en-US"/>
        </w:rPr>
      </w:pPr>
      <w:r w:rsidRPr="008E4846">
        <w:rPr>
          <w:rFonts w:asciiTheme="minorHAnsi" w:hAnsiTheme="minorHAnsi" w:cstheme="majorHAnsi"/>
          <w:lang w:val="en-US"/>
        </w:rPr>
        <w:t xml:space="preserve">CRM integrado (Customer Relation Management) </w:t>
      </w:r>
    </w:p>
    <w:p w14:paraId="27F7D8AB"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Aplicación móvil como extensión del CRM</w:t>
      </w:r>
    </w:p>
    <w:p w14:paraId="6A3FD5DC"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Manejo de histórico de las actividades de los gestores de cobro</w:t>
      </w:r>
    </w:p>
    <w:p w14:paraId="2DFC4C8A"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Gestión de colas de trabajo de forma organizativa y jerárquica en base a campañas de cobro parametrizables</w:t>
      </w:r>
    </w:p>
    <w:p w14:paraId="43110806"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Presentación de colas de trabajo en forma de tableros de control (dashboards)</w:t>
      </w:r>
    </w:p>
    <w:p w14:paraId="7F6DA95D"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 xml:space="preserve">Interconectividad vía webservice con el Sistema Único de Información y Recaudo (SUIR) para la extracción de los datos generales del empleador, sus representantes y deuda pendiente. </w:t>
      </w:r>
    </w:p>
    <w:p w14:paraId="2D075729"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Reportes estadísticos filtrados por diferentes criterios, así como presentación tipo tableros de control (dashboard) del desempeño de los gestores de cobro</w:t>
      </w:r>
    </w:p>
    <w:p w14:paraId="0DA79BD6"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Reportes estadísticos filtrados por diferentes criterios, así como presentación tableros de control (dashboard) de la recuperación de deuda</w:t>
      </w:r>
    </w:p>
    <w:p w14:paraId="72120F58"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Capacidad de crear políticas parametrizables para la asignación automática de las cuentas a los gestores de cobro</w:t>
      </w:r>
    </w:p>
    <w:p w14:paraId="39E3A26C"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Envío automático de correo electrónico a usuarios y a clientes (empleadores para el caso de la TSS) en mora</w:t>
      </w:r>
    </w:p>
    <w:p w14:paraId="6CDAE206"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Capacidad de marcado predictivo e integración con centrales IP</w:t>
      </w:r>
    </w:p>
    <w:p w14:paraId="241DE363"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Capacidad de integración con servicio de envíos de SMS de forma manual o masiva</w:t>
      </w:r>
    </w:p>
    <w:p w14:paraId="29A91353"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Manejo del flujo legal de los procesos de cobro (debe ser parametrizable)</w:t>
      </w:r>
    </w:p>
    <w:p w14:paraId="56572022"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Capacidad de generar carteras de cobro para ser remitida a abogados externos para recuperación</w:t>
      </w:r>
    </w:p>
    <w:p w14:paraId="67788F0B"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Monitoreo en línea de los gestores de cobro</w:t>
      </w:r>
    </w:p>
    <w:p w14:paraId="171478E8"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Capacidad de diseñar documentos personalizados para la gestión de cobros (cartas, notificaciones, actos de alguacil, etc.)</w:t>
      </w:r>
    </w:p>
    <w:p w14:paraId="076F22F1"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Enmascaramientos de los documentos de identidad de los representantes de empleadores y de otros campos sensitivos</w:t>
      </w:r>
    </w:p>
    <w:p w14:paraId="4D9C360A"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lastRenderedPageBreak/>
        <w:t>Administración de los usuarios de la plataforma por grupos o roles</w:t>
      </w:r>
    </w:p>
    <w:p w14:paraId="7CD20A33"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Capacidad de trazabilidad de las operaciones para fines de auditoría</w:t>
      </w:r>
    </w:p>
    <w:p w14:paraId="20DE4E4D"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Gestión de colas de trabajo de forma organizativa y jerárquica (por estatus, por saldo)</w:t>
      </w:r>
    </w:p>
    <w:p w14:paraId="0B6E988C"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Gestión de colas de trabajo en base a campañas parametrizadas por la TSS</w:t>
      </w:r>
    </w:p>
    <w:p w14:paraId="2CDEEBA8"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Gestión de colas de trabajo en base a pool de gestores</w:t>
      </w:r>
    </w:p>
    <w:p w14:paraId="7F0359BA"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Gestión de colas de trabajo en base a dashboards</w:t>
      </w:r>
    </w:p>
    <w:p w14:paraId="3E9642A2"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Gestión de colas de trabajo de forma selectiva</w:t>
      </w:r>
    </w:p>
    <w:p w14:paraId="258729AE"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Consultas de cuentas parametrizables a través de dashboards</w:t>
      </w:r>
    </w:p>
    <w:p w14:paraId="4D56B01B"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Información básica de los deudores relacionados, datos demográficos, obligaciones de pago, pagos realizados, gastos relacionados</w:t>
      </w:r>
    </w:p>
    <w:p w14:paraId="11AEE8FB" w14:textId="77777777" w:rsidR="008E4846" w:rsidRPr="008E4846" w:rsidRDefault="008E4846" w:rsidP="008E4846">
      <w:pPr>
        <w:numPr>
          <w:ilvl w:val="0"/>
          <w:numId w:val="33"/>
        </w:numPr>
        <w:jc w:val="both"/>
        <w:rPr>
          <w:rFonts w:asciiTheme="minorHAnsi" w:hAnsiTheme="minorHAnsi" w:cstheme="majorHAnsi"/>
          <w:lang w:val="es-US"/>
        </w:rPr>
      </w:pPr>
      <w:r w:rsidRPr="008E4846">
        <w:rPr>
          <w:rFonts w:asciiTheme="minorHAnsi" w:hAnsiTheme="minorHAnsi" w:cstheme="majorHAnsi"/>
          <w:lang w:val="es-US"/>
        </w:rPr>
        <w:t>Consultas estadísticas de la labor realizada por los gestores por tramos de fecha, balance, tipo de cliente (tipo de empleador en el caso de TSS)</w:t>
      </w:r>
    </w:p>
    <w:p w14:paraId="7E2CB19B" w14:textId="77777777" w:rsidR="008E4846" w:rsidRPr="008E4846" w:rsidRDefault="008E4846" w:rsidP="008E4846">
      <w:pPr>
        <w:ind w:firstLine="708"/>
        <w:rPr>
          <w:rFonts w:asciiTheme="minorHAnsi" w:hAnsiTheme="minorHAnsi"/>
          <w:b/>
          <w:lang w:val="es-DO"/>
        </w:rPr>
      </w:pPr>
    </w:p>
    <w:p w14:paraId="13A69201" w14:textId="77777777" w:rsidR="008E4846" w:rsidRPr="008E4846" w:rsidRDefault="008E4846" w:rsidP="008E4846">
      <w:pPr>
        <w:ind w:firstLine="708"/>
        <w:rPr>
          <w:rFonts w:asciiTheme="minorHAnsi" w:hAnsiTheme="minorHAnsi"/>
          <w:b/>
          <w:lang w:val="es-DO"/>
        </w:rPr>
      </w:pPr>
      <w:r w:rsidRPr="008E4846">
        <w:rPr>
          <w:rFonts w:asciiTheme="minorHAnsi" w:hAnsiTheme="minorHAnsi"/>
          <w:b/>
          <w:lang w:val="es-DO"/>
        </w:rPr>
        <w:t>Funcionalidades de Supervisión</w:t>
      </w:r>
    </w:p>
    <w:p w14:paraId="783BEC3A" w14:textId="77777777" w:rsidR="008E4846" w:rsidRPr="008E4846" w:rsidRDefault="008E4846" w:rsidP="008E4846">
      <w:pPr>
        <w:numPr>
          <w:ilvl w:val="0"/>
          <w:numId w:val="35"/>
        </w:numPr>
        <w:jc w:val="both"/>
        <w:rPr>
          <w:rFonts w:asciiTheme="minorHAnsi" w:hAnsiTheme="minorHAnsi" w:cstheme="majorHAnsi"/>
          <w:lang w:val="es-US"/>
        </w:rPr>
      </w:pPr>
      <w:r w:rsidRPr="008E4846">
        <w:rPr>
          <w:rFonts w:asciiTheme="minorHAnsi" w:hAnsiTheme="minorHAnsi" w:cstheme="majorHAnsi"/>
          <w:lang w:val="es-US"/>
        </w:rPr>
        <w:t>Monitoreo en línea de los gestores de cobro y sus actividades</w:t>
      </w:r>
    </w:p>
    <w:p w14:paraId="2DE2724B" w14:textId="77777777" w:rsidR="008E4846" w:rsidRPr="008E4846" w:rsidRDefault="008E4846" w:rsidP="008E4846">
      <w:pPr>
        <w:numPr>
          <w:ilvl w:val="0"/>
          <w:numId w:val="35"/>
        </w:numPr>
        <w:jc w:val="both"/>
        <w:rPr>
          <w:rFonts w:asciiTheme="minorHAnsi" w:hAnsiTheme="minorHAnsi" w:cstheme="majorHAnsi"/>
          <w:lang w:val="es-US"/>
        </w:rPr>
      </w:pPr>
      <w:r w:rsidRPr="008E4846">
        <w:rPr>
          <w:rFonts w:asciiTheme="minorHAnsi" w:hAnsiTheme="minorHAnsi" w:cstheme="majorHAnsi"/>
          <w:lang w:val="es-US"/>
        </w:rPr>
        <w:t>Consulta consolidada de productividad por gestores</w:t>
      </w:r>
    </w:p>
    <w:p w14:paraId="63477F96" w14:textId="77777777" w:rsidR="008E4846" w:rsidRPr="008E4846" w:rsidRDefault="008E4846" w:rsidP="008E4846">
      <w:pPr>
        <w:numPr>
          <w:ilvl w:val="0"/>
          <w:numId w:val="35"/>
        </w:numPr>
        <w:jc w:val="both"/>
        <w:rPr>
          <w:rFonts w:asciiTheme="minorHAnsi" w:hAnsiTheme="minorHAnsi" w:cstheme="majorHAnsi"/>
          <w:lang w:val="es-US"/>
        </w:rPr>
      </w:pPr>
      <w:r w:rsidRPr="008E4846">
        <w:rPr>
          <w:rFonts w:asciiTheme="minorHAnsi" w:hAnsiTheme="minorHAnsi" w:cstheme="majorHAnsi"/>
          <w:lang w:val="es-US"/>
        </w:rPr>
        <w:t>Consulta consolidada de cartera global por tipo de cliente (empleadores en caso de TSS), estatus, gestores, etc.</w:t>
      </w:r>
    </w:p>
    <w:p w14:paraId="48F67D40" w14:textId="77777777" w:rsidR="008E4846" w:rsidRPr="008E4846" w:rsidRDefault="008E4846" w:rsidP="008E4846">
      <w:pPr>
        <w:numPr>
          <w:ilvl w:val="0"/>
          <w:numId w:val="35"/>
        </w:numPr>
        <w:jc w:val="both"/>
        <w:rPr>
          <w:rFonts w:asciiTheme="minorHAnsi" w:hAnsiTheme="minorHAnsi" w:cstheme="majorHAnsi"/>
          <w:lang w:val="es-US"/>
        </w:rPr>
      </w:pPr>
      <w:r w:rsidRPr="008E4846">
        <w:rPr>
          <w:rFonts w:asciiTheme="minorHAnsi" w:hAnsiTheme="minorHAnsi" w:cstheme="majorHAnsi"/>
          <w:lang w:val="es-US"/>
        </w:rPr>
        <w:t>Dashboards estadísticos de productividad de gestores y cartera</w:t>
      </w:r>
    </w:p>
    <w:p w14:paraId="332FDF56" w14:textId="77777777" w:rsidR="008E4846" w:rsidRPr="008E4846" w:rsidRDefault="008E4846" w:rsidP="008E4846">
      <w:pPr>
        <w:numPr>
          <w:ilvl w:val="0"/>
          <w:numId w:val="35"/>
        </w:numPr>
        <w:jc w:val="both"/>
        <w:rPr>
          <w:rFonts w:asciiTheme="minorHAnsi" w:hAnsiTheme="minorHAnsi" w:cstheme="majorHAnsi"/>
          <w:lang w:val="es-US"/>
        </w:rPr>
      </w:pPr>
      <w:r w:rsidRPr="008E4846">
        <w:rPr>
          <w:rFonts w:asciiTheme="minorHAnsi" w:hAnsiTheme="minorHAnsi" w:cstheme="majorHAnsi"/>
          <w:lang w:val="es-US"/>
        </w:rPr>
        <w:t>Control de asistencia de los gestores</w:t>
      </w:r>
    </w:p>
    <w:p w14:paraId="4E97ACF9" w14:textId="77777777" w:rsidR="008E4846" w:rsidRPr="008E4846" w:rsidRDefault="008E4846" w:rsidP="008E4846">
      <w:pPr>
        <w:numPr>
          <w:ilvl w:val="0"/>
          <w:numId w:val="35"/>
        </w:numPr>
        <w:jc w:val="both"/>
        <w:rPr>
          <w:rFonts w:asciiTheme="minorHAnsi" w:hAnsiTheme="minorHAnsi" w:cstheme="majorHAnsi"/>
          <w:lang w:val="es-US"/>
        </w:rPr>
      </w:pPr>
      <w:r w:rsidRPr="008E4846">
        <w:rPr>
          <w:rFonts w:asciiTheme="minorHAnsi" w:hAnsiTheme="minorHAnsi" w:cstheme="majorHAnsi"/>
          <w:lang w:val="es-US"/>
        </w:rPr>
        <w:t>Notificación automática vía email de asistencia y productividad</w:t>
      </w:r>
    </w:p>
    <w:p w14:paraId="2BD3B848" w14:textId="77777777" w:rsidR="008E4846" w:rsidRPr="008E4846" w:rsidRDefault="008E4846" w:rsidP="008E4846">
      <w:pPr>
        <w:ind w:firstLine="708"/>
        <w:rPr>
          <w:rFonts w:asciiTheme="minorHAnsi" w:eastAsia="Times New Roman" w:hAnsiTheme="minorHAnsi" w:cstheme="minorHAnsi"/>
          <w:b/>
          <w:color w:val="000000"/>
          <w:lang w:val="es-DO"/>
        </w:rPr>
      </w:pPr>
    </w:p>
    <w:p w14:paraId="7451643D" w14:textId="77777777" w:rsidR="008E4846" w:rsidRPr="008E4846" w:rsidRDefault="008E4846" w:rsidP="008E4846">
      <w:pPr>
        <w:ind w:firstLine="708"/>
        <w:rPr>
          <w:rFonts w:asciiTheme="minorHAnsi" w:hAnsiTheme="minorHAnsi"/>
          <w:lang w:val="es-DO"/>
        </w:rPr>
      </w:pPr>
      <w:r w:rsidRPr="008E4846">
        <w:rPr>
          <w:rFonts w:asciiTheme="minorHAnsi" w:eastAsia="Times New Roman" w:hAnsiTheme="minorHAnsi" w:cstheme="minorHAnsi"/>
          <w:b/>
          <w:color w:val="000000"/>
          <w:lang w:val="es-DO"/>
        </w:rPr>
        <w:t xml:space="preserve">Funcionalidades de Valor Agregado </w:t>
      </w:r>
    </w:p>
    <w:p w14:paraId="717F804D"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Reportes exportables a CSV y TXT</w:t>
      </w:r>
    </w:p>
    <w:p w14:paraId="436A0BD3"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Expiración de passwords</w:t>
      </w:r>
    </w:p>
    <w:p w14:paraId="56546F40"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Permite cambio de passwords de usuarios</w:t>
      </w:r>
    </w:p>
    <w:p w14:paraId="003CBCAD"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Definición de características de passwords seguros</w:t>
      </w:r>
    </w:p>
    <w:p w14:paraId="351EE4D5"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Soporte de cifrado de passwords</w:t>
      </w:r>
    </w:p>
    <w:p w14:paraId="7D3D8AC1" w14:textId="77777777" w:rsidR="008E4846" w:rsidRPr="008E4846" w:rsidRDefault="008E4846" w:rsidP="008E4846">
      <w:pPr>
        <w:numPr>
          <w:ilvl w:val="0"/>
          <w:numId w:val="36"/>
        </w:numPr>
        <w:jc w:val="both"/>
        <w:rPr>
          <w:rFonts w:asciiTheme="minorHAnsi" w:hAnsiTheme="minorHAnsi" w:cstheme="majorHAnsi"/>
          <w:lang w:val="en-US"/>
        </w:rPr>
      </w:pPr>
      <w:r w:rsidRPr="008E4846">
        <w:rPr>
          <w:rFonts w:asciiTheme="minorHAnsi" w:hAnsiTheme="minorHAnsi" w:cstheme="majorHAnsi"/>
          <w:lang w:val="en-US"/>
        </w:rPr>
        <w:t>Integración con Active Directory / Single Sing-on</w:t>
      </w:r>
    </w:p>
    <w:p w14:paraId="3D01125D"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Bloqueo automático de cuentas por inactividad</w:t>
      </w:r>
    </w:p>
    <w:p w14:paraId="6D2A4430" w14:textId="77777777" w:rsidR="008E4846" w:rsidRPr="008E4846" w:rsidRDefault="008E4846" w:rsidP="008E4846">
      <w:pPr>
        <w:numPr>
          <w:ilvl w:val="0"/>
          <w:numId w:val="36"/>
        </w:numPr>
        <w:jc w:val="both"/>
        <w:rPr>
          <w:rFonts w:asciiTheme="minorHAnsi" w:hAnsiTheme="minorHAnsi" w:cstheme="majorHAnsi"/>
          <w:lang w:val="es-US"/>
        </w:rPr>
      </w:pPr>
      <w:r w:rsidRPr="008E4846">
        <w:rPr>
          <w:rFonts w:asciiTheme="minorHAnsi" w:hAnsiTheme="minorHAnsi" w:cstheme="majorHAnsi"/>
          <w:lang w:val="es-US"/>
        </w:rPr>
        <w:t>Uso de captcha en proceso de autenticación</w:t>
      </w:r>
    </w:p>
    <w:p w14:paraId="0986CD71" w14:textId="77777777" w:rsidR="008E4846" w:rsidRPr="008E4846" w:rsidRDefault="008E4846" w:rsidP="008E4846">
      <w:pPr>
        <w:pStyle w:val="ListParagraph"/>
        <w:numPr>
          <w:ilvl w:val="0"/>
          <w:numId w:val="36"/>
        </w:numPr>
        <w:jc w:val="both"/>
        <w:rPr>
          <w:rFonts w:asciiTheme="minorHAnsi" w:hAnsiTheme="minorHAnsi" w:cstheme="majorHAnsi"/>
          <w:b/>
          <w:lang w:val="es-US"/>
        </w:rPr>
      </w:pPr>
      <w:r w:rsidRPr="008E4846">
        <w:rPr>
          <w:rFonts w:asciiTheme="minorHAnsi" w:hAnsiTheme="minorHAnsi" w:cstheme="majorHAnsi"/>
          <w:lang w:val="es-US"/>
        </w:rPr>
        <w:t xml:space="preserve">Conexión al aplicativo de forma segura (cifrado del canal de comunicación) </w:t>
      </w:r>
    </w:p>
    <w:p w14:paraId="13842006" w14:textId="77777777" w:rsidR="008E4846" w:rsidRPr="008E4846" w:rsidRDefault="008E4846" w:rsidP="008E4846">
      <w:pPr>
        <w:ind w:left="720"/>
        <w:jc w:val="both"/>
        <w:rPr>
          <w:rFonts w:asciiTheme="minorHAnsi" w:hAnsiTheme="minorHAnsi" w:cstheme="majorHAnsi"/>
          <w:b/>
          <w:lang w:val="es-US"/>
        </w:rPr>
      </w:pPr>
    </w:p>
    <w:p w14:paraId="4ECD53F4" w14:textId="77777777" w:rsidR="008E4846" w:rsidRPr="008E4846" w:rsidRDefault="008E4846" w:rsidP="008E4846">
      <w:pPr>
        <w:jc w:val="both"/>
        <w:rPr>
          <w:rFonts w:asciiTheme="minorHAnsi" w:hAnsiTheme="minorHAnsi" w:cstheme="majorHAnsi"/>
          <w:b/>
          <w:lang w:val="es-US"/>
        </w:rPr>
      </w:pPr>
      <w:r w:rsidRPr="008E4846">
        <w:rPr>
          <w:rFonts w:asciiTheme="minorHAnsi" w:hAnsiTheme="minorHAnsi" w:cstheme="majorHAnsi"/>
          <w:b/>
          <w:lang w:val="es-US"/>
        </w:rPr>
        <w:t>Funcionalidades de los Servicios Conexos (Instalación, Configuración, Implementación y Soporte)</w:t>
      </w:r>
    </w:p>
    <w:p w14:paraId="361AA650"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Auditoria/Trazabilidad de cambios de tablas de parámetros</w:t>
      </w:r>
    </w:p>
    <w:p w14:paraId="376B0967"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Instalación y Configuración de la plataforma para un máximo de quince (15) gestores de cobros</w:t>
      </w:r>
    </w:p>
    <w:p w14:paraId="2054930E"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Integración vía webservice con el servicio de envío de SMS utilizado por la TSS</w:t>
      </w:r>
    </w:p>
    <w:p w14:paraId="679A435F"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Integración vía webservice con el Sistema Único de Información y Recaudo para extracción de datos de empleadores (datos generales, representantes, deuda)</w:t>
      </w:r>
    </w:p>
    <w:p w14:paraId="241771B3"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eastAsia="Times New Roman" w:hAnsiTheme="minorHAnsi" w:cstheme="majorHAnsi"/>
          <w:color w:val="000000"/>
          <w:lang w:val="es-DO"/>
        </w:rPr>
        <w:t xml:space="preserve">Parametrización </w:t>
      </w:r>
      <w:r w:rsidRPr="008E4846">
        <w:rPr>
          <w:rFonts w:asciiTheme="minorHAnsi" w:hAnsiTheme="minorHAnsi" w:cstheme="majorHAnsi"/>
          <w:lang w:val="es-US"/>
        </w:rPr>
        <w:t>total del aplicativo incluyendo el manejo del flujo legal de los procesos de cobro y de la app móvil</w:t>
      </w:r>
    </w:p>
    <w:p w14:paraId="32719FDE"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Esquema de transferencia de conocimientos en el proceso de implementación</w:t>
      </w:r>
    </w:p>
    <w:p w14:paraId="4C0ED832"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Plan de capacitación</w:t>
      </w:r>
    </w:p>
    <w:p w14:paraId="7088DA1E" w14:textId="77777777" w:rsidR="008E4846" w:rsidRPr="008E4846" w:rsidRDefault="008E4846" w:rsidP="008E4846">
      <w:pPr>
        <w:numPr>
          <w:ilvl w:val="0"/>
          <w:numId w:val="34"/>
        </w:numPr>
        <w:jc w:val="both"/>
        <w:rPr>
          <w:rFonts w:asciiTheme="minorHAnsi" w:hAnsiTheme="minorHAnsi" w:cstheme="majorHAnsi"/>
          <w:lang w:val="es-US"/>
        </w:rPr>
      </w:pPr>
      <w:r w:rsidRPr="008E4846">
        <w:rPr>
          <w:rFonts w:asciiTheme="minorHAnsi" w:hAnsiTheme="minorHAnsi" w:cstheme="majorHAnsi"/>
          <w:lang w:val="es-US"/>
        </w:rPr>
        <w:t>Mantenimiento y actualizaciones a demanda por la TSS mediante solicitudes vía correo electrónico o carta (1 año de mantenimiento)</w:t>
      </w:r>
    </w:p>
    <w:p w14:paraId="4D249693" w14:textId="77777777" w:rsidR="008E4846" w:rsidRPr="008E4846" w:rsidRDefault="008E4846" w:rsidP="008E4846">
      <w:pPr>
        <w:numPr>
          <w:ilvl w:val="0"/>
          <w:numId w:val="34"/>
        </w:numPr>
        <w:jc w:val="both"/>
        <w:rPr>
          <w:rFonts w:asciiTheme="minorHAnsi" w:eastAsia="Times New Roman" w:hAnsiTheme="minorHAnsi" w:cstheme="majorHAnsi"/>
          <w:color w:val="000000"/>
          <w:lang w:val="es-DO"/>
        </w:rPr>
      </w:pPr>
      <w:r w:rsidRPr="008E4846">
        <w:rPr>
          <w:rFonts w:asciiTheme="minorHAnsi" w:hAnsiTheme="minorHAnsi" w:cstheme="majorHAnsi"/>
          <w:lang w:val="es-US"/>
        </w:rPr>
        <w:t>Soporte técnico post venta</w:t>
      </w:r>
      <w:r w:rsidRPr="008E4846">
        <w:rPr>
          <w:rFonts w:asciiTheme="minorHAnsi" w:eastAsia="Times New Roman" w:hAnsiTheme="minorHAnsi" w:cstheme="majorHAnsi"/>
          <w:color w:val="000000"/>
          <w:lang w:val="es-DO"/>
        </w:rPr>
        <w:t xml:space="preserve"> telefónico, en línea y presencial por un (1) año</w:t>
      </w:r>
    </w:p>
    <w:p w14:paraId="0FB171FA" w14:textId="77777777" w:rsidR="008E4846" w:rsidRPr="00920A19" w:rsidRDefault="008E4846" w:rsidP="008E4846">
      <w:pPr>
        <w:jc w:val="both"/>
        <w:rPr>
          <w:rFonts w:asciiTheme="majorHAnsi" w:hAnsiTheme="majorHAnsi" w:cstheme="majorHAnsi"/>
          <w:sz w:val="19"/>
          <w:szCs w:val="19"/>
          <w:lang w:val="es-US"/>
        </w:rPr>
      </w:pPr>
    </w:p>
    <w:p w14:paraId="28F5700B" w14:textId="0A97DD5B"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28E9131A" w14:textId="54D4EB61" w:rsidR="002D629D" w:rsidRDefault="002D629D" w:rsidP="00B64EB2">
      <w:pPr>
        <w:pStyle w:val="ListParagraph"/>
        <w:ind w:left="0" w:firstLine="360"/>
        <w:rPr>
          <w:rFonts w:ascii="Book Antiqua" w:hAnsi="Book Antiqua" w:cs="Calibri"/>
          <w:color w:val="000000"/>
          <w:sz w:val="22"/>
          <w:szCs w:val="22"/>
          <w:lang w:val="es-DO"/>
        </w:rPr>
      </w:pPr>
    </w:p>
    <w:p w14:paraId="0756BAAA" w14:textId="4B801076" w:rsidR="002D629D" w:rsidRDefault="002D629D" w:rsidP="00B64EB2">
      <w:pPr>
        <w:pStyle w:val="ListParagraph"/>
        <w:ind w:left="0" w:firstLine="360"/>
        <w:rPr>
          <w:rFonts w:ascii="Book Antiqua" w:hAnsi="Book Antiqua" w:cs="Calibri"/>
          <w:color w:val="000000"/>
          <w:sz w:val="22"/>
          <w:szCs w:val="22"/>
          <w:lang w:val="es-DO"/>
        </w:rPr>
      </w:pPr>
    </w:p>
    <w:p w14:paraId="0B045BDB" w14:textId="77777777" w:rsidR="002D629D" w:rsidRPr="000F2ADE" w:rsidRDefault="002D629D"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lastRenderedPageBreak/>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221D591B"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526AD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26AD7">
              <w:rPr>
                <w:b/>
                <w:bCs/>
                <w:noProof/>
              </w:rPr>
              <w:t>8</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3D6A69"/>
    <w:multiLevelType w:val="hybridMultilevel"/>
    <w:tmpl w:val="FA3C5DBE"/>
    <w:lvl w:ilvl="0" w:tplc="F2EA9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D9B730C"/>
    <w:multiLevelType w:val="hybridMultilevel"/>
    <w:tmpl w:val="D918F5FA"/>
    <w:lvl w:ilvl="0" w:tplc="7FB22F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806A5A"/>
    <w:multiLevelType w:val="hybridMultilevel"/>
    <w:tmpl w:val="2A766B92"/>
    <w:lvl w:ilvl="0" w:tplc="1C0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BA35162"/>
    <w:multiLevelType w:val="hybridMultilevel"/>
    <w:tmpl w:val="D8F272E2"/>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3199C"/>
    <w:multiLevelType w:val="hybridMultilevel"/>
    <w:tmpl w:val="36C0B0A0"/>
    <w:lvl w:ilvl="0" w:tplc="1C0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9" w15:restartNumberingAfterBreak="0">
    <w:nsid w:val="75CC5661"/>
    <w:multiLevelType w:val="hybridMultilevel"/>
    <w:tmpl w:val="1A92C8E0"/>
    <w:lvl w:ilvl="0" w:tplc="1C0A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7"/>
  </w:num>
  <w:num w:numId="4">
    <w:abstractNumId w:val="9"/>
  </w:num>
  <w:num w:numId="5">
    <w:abstractNumId w:val="33"/>
  </w:num>
  <w:num w:numId="6">
    <w:abstractNumId w:val="25"/>
  </w:num>
  <w:num w:numId="7">
    <w:abstractNumId w:val="3"/>
  </w:num>
  <w:num w:numId="8">
    <w:abstractNumId w:val="26"/>
  </w:num>
  <w:num w:numId="9">
    <w:abstractNumId w:val="4"/>
  </w:num>
  <w:num w:numId="10">
    <w:abstractNumId w:val="18"/>
  </w:num>
  <w:num w:numId="11">
    <w:abstractNumId w:val="20"/>
  </w:num>
  <w:num w:numId="12">
    <w:abstractNumId w:val="31"/>
  </w:num>
  <w:num w:numId="13">
    <w:abstractNumId w:val="19"/>
  </w:num>
  <w:num w:numId="14">
    <w:abstractNumId w:val="35"/>
  </w:num>
  <w:num w:numId="15">
    <w:abstractNumId w:val="32"/>
  </w:num>
  <w:num w:numId="16">
    <w:abstractNumId w:val="22"/>
  </w:num>
  <w:num w:numId="17">
    <w:abstractNumId w:val="27"/>
  </w:num>
  <w:num w:numId="18">
    <w:abstractNumId w:val="30"/>
  </w:num>
  <w:num w:numId="19">
    <w:abstractNumId w:val="7"/>
  </w:num>
  <w:num w:numId="20">
    <w:abstractNumId w:val="34"/>
  </w:num>
  <w:num w:numId="21">
    <w:abstractNumId w:val="2"/>
  </w:num>
  <w:num w:numId="22">
    <w:abstractNumId w:val="6"/>
  </w:num>
  <w:num w:numId="23">
    <w:abstractNumId w:val="0"/>
  </w:num>
  <w:num w:numId="24">
    <w:abstractNumId w:val="23"/>
  </w:num>
  <w:num w:numId="25">
    <w:abstractNumId w:val="11"/>
  </w:num>
  <w:num w:numId="26">
    <w:abstractNumId w:val="21"/>
  </w:num>
  <w:num w:numId="27">
    <w:abstractNumId w:val="16"/>
  </w:num>
  <w:num w:numId="28">
    <w:abstractNumId w:val="5"/>
  </w:num>
  <w:num w:numId="29">
    <w:abstractNumId w:val="14"/>
  </w:num>
  <w:num w:numId="30">
    <w:abstractNumId w:val="1"/>
  </w:num>
  <w:num w:numId="31">
    <w:abstractNumId w:val="10"/>
  </w:num>
  <w:num w:numId="32">
    <w:abstractNumId w:val="15"/>
  </w:num>
  <w:num w:numId="33">
    <w:abstractNumId w:val="8"/>
  </w:num>
  <w:num w:numId="34">
    <w:abstractNumId w:val="29"/>
  </w:num>
  <w:num w:numId="35">
    <w:abstractNumId w:val="24"/>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26AD7"/>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3A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4846"/>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E7E"/>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paragraph" w:styleId="PlainText">
    <w:name w:val="Plain Text"/>
    <w:basedOn w:val="Normal"/>
    <w:link w:val="PlainTextChar"/>
    <w:uiPriority w:val="99"/>
    <w:unhideWhenUsed/>
    <w:rsid w:val="00A54E7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54E7E"/>
    <w:rPr>
      <w:rFonts w:ascii="Consolas" w:eastAsia="Calibr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37FF6966DB449BAF497F68638A815E"/>
        <w:category>
          <w:name w:val="General"/>
          <w:gallery w:val="placeholder"/>
        </w:category>
        <w:types>
          <w:type w:val="bbPlcHdr"/>
        </w:types>
        <w:behaviors>
          <w:behavior w:val="content"/>
        </w:behaviors>
        <w:guid w:val="{D4892238-1563-4527-B148-89D4F74F040F}"/>
      </w:docPartPr>
      <w:docPartBody>
        <w:p w:rsidR="00C310B7" w:rsidRDefault="002436D9" w:rsidP="002436D9">
          <w:pPr>
            <w:pStyle w:val="F537FF6966DB449BAF497F68638A815E"/>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D9"/>
    <w:rsid w:val="002436D9"/>
    <w:rsid w:val="00C3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6D9"/>
    <w:rPr>
      <w:color w:val="808080"/>
    </w:rPr>
  </w:style>
  <w:style w:type="paragraph" w:customStyle="1" w:styleId="F537FF6966DB449BAF497F68638A815E">
    <w:name w:val="F537FF6966DB449BAF497F68638A815E"/>
    <w:rsid w:val="00243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BC32-EB1E-478F-816C-6B5FDC34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2965</Words>
  <Characters>16907</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4</cp:revision>
  <cp:lastPrinted>2015-05-19T16:27:00Z</cp:lastPrinted>
  <dcterms:created xsi:type="dcterms:W3CDTF">2021-09-23T12:39:00Z</dcterms:created>
  <dcterms:modified xsi:type="dcterms:W3CDTF">2021-11-16T18:24:00Z</dcterms:modified>
</cp:coreProperties>
</file>