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0BC33B41" w14:textId="1FABC956" w:rsidR="006D4BEA" w:rsidRPr="005C3607" w:rsidRDefault="00526AD7" w:rsidP="00BB6091">
      <w:pPr>
        <w:jc w:val="both"/>
        <w:rPr>
          <w:rFonts w:asciiTheme="minorHAnsi" w:hAnsiTheme="minorHAnsi" w:cs="Calibri"/>
          <w:b/>
          <w:color w:val="000000"/>
          <w:lang w:val="es-DO"/>
        </w:rPr>
      </w:pPr>
      <w:sdt>
        <w:sdtPr>
          <w:rPr>
            <w:rFonts w:ascii="Arial" w:eastAsia="Calibri" w:hAnsi="Arial" w:cs="Arial"/>
            <w:b/>
            <w:szCs w:val="18"/>
            <w:lang w:val="es-ES"/>
          </w:rPr>
          <w:alias w:val="Indicar Objeto de la Compra"/>
          <w:tag w:val="Indicar Objeto de la Compra"/>
          <w:id w:val="4716297"/>
          <w:placeholder>
            <w:docPart w:val="F537FF6966DB449BAF497F68638A815E"/>
          </w:placeholder>
        </w:sdtPr>
        <w:sdtEndPr>
          <w:rPr>
            <w:sz w:val="20"/>
          </w:rPr>
        </w:sdtEndPr>
        <w:sdtContent>
          <w:r w:rsidR="008E4846" w:rsidRPr="005B2020">
            <w:rPr>
              <w:rFonts w:ascii="Arial" w:eastAsia="Calibri" w:hAnsi="Arial" w:cs="Arial"/>
              <w:b/>
              <w:sz w:val="20"/>
              <w:szCs w:val="18"/>
              <w:lang w:val="es-ES"/>
            </w:rPr>
            <w:t>Plataforma Tecnológica para la Gestión de Cobranza de las Obligaciones del SDSS a Empleadores Morosos</w:t>
          </w:r>
        </w:sdtContent>
      </w:sdt>
      <w:r w:rsidR="00EA403A">
        <w:rPr>
          <w:rFonts w:asciiTheme="minorHAnsi" w:hAnsiTheme="minorHAnsi" w:cs="Calibri"/>
          <w:b/>
          <w:color w:val="000000"/>
          <w:lang w:val="es-DO"/>
        </w:rPr>
        <w:t xml:space="preserve">DE LA </w:t>
      </w:r>
      <w:r w:rsidR="00A2678B" w:rsidRPr="005C3607">
        <w:rPr>
          <w:rFonts w:asciiTheme="minorHAnsi" w:hAnsiTheme="minorHAnsi" w:cs="Calibri"/>
          <w:b/>
          <w:color w:val="000000"/>
          <w:lang w:val="es-DO"/>
        </w:rPr>
        <w:t xml:space="preserve">TESORERÍA DE LA SEGURIDAD SOCIAL </w:t>
      </w:r>
      <w:r w:rsidR="00853BB4" w:rsidRPr="005C3607">
        <w:rPr>
          <w:rFonts w:asciiTheme="minorHAnsi" w:hAnsiTheme="minorHAnsi" w:cs="Calibri"/>
          <w:b/>
          <w:color w:val="000000"/>
          <w:lang w:val="es-DO"/>
        </w:rPr>
        <w:t>Y</w:t>
      </w:r>
      <w:r w:rsidR="00A2678B" w:rsidRPr="005C3607">
        <w:rPr>
          <w:rFonts w:asciiTheme="minorHAnsi" w:hAnsiTheme="minorHAnsi" w:cs="Calibri"/>
          <w:b/>
          <w:color w:val="000000"/>
          <w:lang w:val="es-DO"/>
        </w:rPr>
        <w:t xml:space="preserve"> </w:t>
      </w:r>
      <w:r w:rsidR="00BD147D">
        <w:rPr>
          <w:rFonts w:asciiTheme="minorHAnsi" w:hAnsiTheme="minorHAnsi" w:cs="Calibri"/>
          <w:b/>
          <w:color w:val="000000"/>
          <w:lang w:val="es-DO"/>
        </w:rPr>
        <w:t>_________________________</w:t>
      </w:r>
      <w:r w:rsidR="00853BB4" w:rsidRPr="005C3607">
        <w:rPr>
          <w:rFonts w:asciiTheme="minorHAnsi" w:hAnsiTheme="minorHAnsi" w:cs="Calibri"/>
          <w:b/>
          <w:color w:val="000000"/>
          <w:lang w:val="es-DO"/>
        </w:rPr>
        <w:t>.</w:t>
      </w:r>
    </w:p>
    <w:p w14:paraId="2979D3AD" w14:textId="77777777" w:rsidR="006D4BEA" w:rsidRPr="00FD2A08" w:rsidRDefault="006D4BEA" w:rsidP="005C3607">
      <w:pPr>
        <w:jc w:val="both"/>
        <w:rPr>
          <w:rFonts w:asciiTheme="minorHAnsi" w:hAnsiTheme="minorHAnsi" w:cs="Calibri"/>
          <w:b/>
          <w:bCs/>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r w:rsidR="00467D37" w:rsidRPr="005C3607">
        <w:rPr>
          <w:rFonts w:asciiTheme="minorHAnsi" w:hAnsiTheme="minorHAnsi" w:cstheme="minorHAnsi"/>
          <w:lang w:val="es-DO"/>
        </w:rPr>
        <w:t>tidad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68C2C2D6" w14:textId="4A6C6B6F"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3B47F5AF"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FE36B0">
        <w:rPr>
          <w:rFonts w:asciiTheme="minorHAnsi" w:hAnsiTheme="minorHAnsi" w:cstheme="minorHAnsi"/>
          <w:b/>
          <w:bCs/>
        </w:rPr>
        <w:t>1</w:t>
      </w:r>
      <w:r w:rsidR="00F3638A" w:rsidRPr="00F3638A">
        <w:rPr>
          <w:rFonts w:asciiTheme="minorHAnsi" w:hAnsiTheme="minorHAnsi" w:cstheme="minorHAnsi"/>
          <w:b/>
          <w:bCs/>
        </w:rPr>
        <w:t>-</w:t>
      </w:r>
      <w:bookmarkStart w:id="4" w:name="_GoBack"/>
      <w:bookmarkEnd w:id="4"/>
      <w:r w:rsidR="00F3638A" w:rsidRPr="00526AD7">
        <w:rPr>
          <w:rFonts w:asciiTheme="minorHAnsi" w:hAnsiTheme="minorHAnsi" w:cstheme="minorHAnsi"/>
          <w:b/>
          <w:bCs/>
          <w:highlight w:val="yellow"/>
        </w:rPr>
        <w:t>00</w:t>
      </w:r>
      <w:r w:rsidR="00526AD7" w:rsidRPr="00526AD7">
        <w:rPr>
          <w:rFonts w:asciiTheme="minorHAnsi" w:hAnsiTheme="minorHAnsi" w:cstheme="minorHAnsi"/>
          <w:b/>
          <w:bCs/>
          <w:highlight w:val="yellow"/>
        </w:rPr>
        <w:t>17</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279C0F1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014743B3" w14:textId="77777777" w:rsidR="00FE36B0" w:rsidRPr="009172D6" w:rsidRDefault="00FE36B0" w:rsidP="005C3607">
      <w:pPr>
        <w:jc w:val="both"/>
        <w:rPr>
          <w:rFonts w:asciiTheme="minorHAnsi" w:hAnsiTheme="minorHAnsi" w:cs="Calibri"/>
          <w:b/>
          <w:color w:val="000000"/>
          <w:sz w:val="12"/>
          <w:szCs w:val="12"/>
        </w:rPr>
      </w:pPr>
    </w:p>
    <w:p w14:paraId="437CA557" w14:textId="256E3EDE" w:rsidR="008E4846" w:rsidRPr="008E4846" w:rsidRDefault="00D017C1" w:rsidP="008E4846">
      <w:pPr>
        <w:ind w:left="540"/>
        <w:jc w:val="both"/>
        <w:rPr>
          <w:rFonts w:asciiTheme="minorHAnsi" w:hAnsiTheme="minorHAnsi" w:cstheme="majorHAnsi"/>
          <w:lang w:val="es-US"/>
        </w:rPr>
      </w:pPr>
      <w:r w:rsidRPr="008E4846">
        <w:rPr>
          <w:rFonts w:asciiTheme="minorHAnsi" w:hAnsiTheme="minorHAnsi" w:cs="Calibri"/>
          <w:b/>
          <w:color w:val="000000"/>
          <w:lang w:val="es-DO"/>
        </w:rPr>
        <w:t>A</w:t>
      </w:r>
      <w:r w:rsidR="006D4BEA" w:rsidRPr="008E4846">
        <w:rPr>
          <w:rFonts w:asciiTheme="minorHAnsi" w:hAnsiTheme="minorHAnsi" w:cs="Calibri"/>
          <w:b/>
          <w:color w:val="000000"/>
          <w:lang w:val="es-DO"/>
        </w:rPr>
        <w:t>RTÍCULO 4</w:t>
      </w:r>
      <w:r w:rsidR="008E4846" w:rsidRPr="008E4846">
        <w:rPr>
          <w:rFonts w:asciiTheme="minorHAnsi" w:hAnsiTheme="minorHAnsi" w:cstheme="majorHAnsi"/>
          <w:lang w:val="es-US"/>
        </w:rPr>
        <w:t xml:space="preserve"> La plataforma tecnológica deberá contar </w:t>
      </w:r>
      <w:r w:rsidR="008E4846" w:rsidRPr="008E4846">
        <w:rPr>
          <w:rFonts w:asciiTheme="minorHAnsi" w:hAnsiTheme="minorHAnsi" w:cstheme="majorHAnsi"/>
          <w:b/>
          <w:u w:val="single"/>
          <w:lang w:val="es-US"/>
        </w:rPr>
        <w:t>como mínimo</w:t>
      </w:r>
      <w:r w:rsidR="008E4846" w:rsidRPr="008E4846">
        <w:rPr>
          <w:rFonts w:asciiTheme="minorHAnsi" w:hAnsiTheme="minorHAnsi" w:cstheme="majorHAnsi"/>
          <w:lang w:val="es-US"/>
        </w:rPr>
        <w:t xml:space="preserve"> y no limitativo con las siguientes funcionalidades:</w:t>
      </w:r>
    </w:p>
    <w:p w14:paraId="1FDFC53D" w14:textId="77777777" w:rsidR="008E4846" w:rsidRPr="008E4846" w:rsidRDefault="008E4846" w:rsidP="008E4846">
      <w:pPr>
        <w:ind w:left="540"/>
        <w:jc w:val="both"/>
        <w:rPr>
          <w:rFonts w:asciiTheme="minorHAnsi" w:hAnsiTheme="minorHAnsi" w:cstheme="majorHAnsi"/>
          <w:b/>
          <w:lang w:val="es-US"/>
        </w:rPr>
      </w:pPr>
    </w:p>
    <w:p w14:paraId="669E6556" w14:textId="77777777" w:rsidR="008E4846" w:rsidRPr="008E4846" w:rsidRDefault="008E4846" w:rsidP="008E4846">
      <w:pPr>
        <w:ind w:left="540"/>
        <w:jc w:val="both"/>
        <w:rPr>
          <w:rFonts w:asciiTheme="minorHAnsi" w:hAnsiTheme="minorHAnsi" w:cstheme="majorHAnsi"/>
          <w:b/>
          <w:lang w:val="es-US"/>
        </w:rPr>
      </w:pPr>
      <w:r w:rsidRPr="008E4846">
        <w:rPr>
          <w:rFonts w:asciiTheme="minorHAnsi" w:hAnsiTheme="minorHAnsi" w:cstheme="majorHAnsi"/>
          <w:b/>
          <w:lang w:val="es-US"/>
        </w:rPr>
        <w:t>Funcionalidades Básicas</w:t>
      </w:r>
    </w:p>
    <w:p w14:paraId="65A28C93" w14:textId="77777777" w:rsidR="008E4846" w:rsidRPr="008E4846" w:rsidRDefault="008E4846" w:rsidP="008E4846">
      <w:pPr>
        <w:numPr>
          <w:ilvl w:val="0"/>
          <w:numId w:val="33"/>
        </w:numPr>
        <w:jc w:val="both"/>
        <w:rPr>
          <w:rFonts w:asciiTheme="minorHAnsi" w:hAnsiTheme="minorHAnsi" w:cstheme="majorHAnsi"/>
          <w:lang w:val="en-US"/>
        </w:rPr>
      </w:pPr>
      <w:r w:rsidRPr="008E4846">
        <w:rPr>
          <w:rFonts w:asciiTheme="minorHAnsi" w:hAnsiTheme="minorHAnsi" w:cstheme="majorHAnsi"/>
          <w:lang w:val="en-US"/>
        </w:rPr>
        <w:t xml:space="preserve">CRM integrado (Customer Relation Management) </w:t>
      </w:r>
    </w:p>
    <w:p w14:paraId="27F7D8AB" w14:textId="77777777" w:rsidR="008E4846" w:rsidRPr="008E4846" w:rsidRDefault="008E4846" w:rsidP="008E4846">
      <w:pPr>
        <w:numPr>
          <w:ilvl w:val="0"/>
          <w:numId w:val="33"/>
        </w:numPr>
        <w:jc w:val="both"/>
        <w:rPr>
          <w:rFonts w:asciiTheme="minorHAnsi" w:hAnsiTheme="minorHAnsi" w:cstheme="majorHAnsi"/>
          <w:lang w:val="es-US"/>
        </w:rPr>
      </w:pPr>
      <w:r w:rsidRPr="008E4846">
        <w:rPr>
          <w:rFonts w:asciiTheme="minorHAnsi" w:hAnsiTheme="minorHAnsi" w:cstheme="majorHAnsi"/>
          <w:lang w:val="es-US"/>
        </w:rPr>
        <w:t>Aplicación móvil como extensión del CRM</w:t>
      </w:r>
    </w:p>
    <w:p w14:paraId="6A3FD5DC" w14:textId="77777777" w:rsidR="008E4846" w:rsidRPr="008E4846" w:rsidRDefault="008E4846" w:rsidP="008E4846">
      <w:pPr>
        <w:numPr>
          <w:ilvl w:val="0"/>
          <w:numId w:val="33"/>
        </w:numPr>
        <w:jc w:val="both"/>
        <w:rPr>
          <w:rFonts w:asciiTheme="minorHAnsi" w:hAnsiTheme="minorHAnsi" w:cstheme="majorHAnsi"/>
          <w:lang w:val="es-US"/>
        </w:rPr>
      </w:pPr>
      <w:r w:rsidRPr="008E4846">
        <w:rPr>
          <w:rFonts w:asciiTheme="minorHAnsi" w:hAnsiTheme="minorHAnsi" w:cstheme="majorHAnsi"/>
          <w:lang w:val="es-US"/>
        </w:rPr>
        <w:t>Manejo de histórico de las actividades de los gestores de cobro</w:t>
      </w:r>
    </w:p>
    <w:p w14:paraId="2DFC4C8A" w14:textId="77777777" w:rsidR="008E4846" w:rsidRPr="008E4846" w:rsidRDefault="008E4846" w:rsidP="008E4846">
      <w:pPr>
        <w:numPr>
          <w:ilvl w:val="0"/>
          <w:numId w:val="33"/>
        </w:numPr>
        <w:jc w:val="both"/>
        <w:rPr>
          <w:rFonts w:asciiTheme="minorHAnsi" w:hAnsiTheme="minorHAnsi" w:cstheme="majorHAnsi"/>
          <w:lang w:val="es-US"/>
        </w:rPr>
      </w:pPr>
      <w:r w:rsidRPr="008E4846">
        <w:rPr>
          <w:rFonts w:asciiTheme="minorHAnsi" w:hAnsiTheme="minorHAnsi" w:cstheme="majorHAnsi"/>
          <w:lang w:val="es-US"/>
        </w:rPr>
        <w:t>Gestión de colas de trabajo de forma organizativa y jerárquica en base a campañas de cobro parametrizables</w:t>
      </w:r>
    </w:p>
    <w:p w14:paraId="43110806" w14:textId="77777777" w:rsidR="008E4846" w:rsidRPr="008E4846" w:rsidRDefault="008E4846" w:rsidP="008E4846">
      <w:pPr>
        <w:numPr>
          <w:ilvl w:val="0"/>
          <w:numId w:val="33"/>
        </w:numPr>
        <w:jc w:val="both"/>
        <w:rPr>
          <w:rFonts w:asciiTheme="minorHAnsi" w:hAnsiTheme="minorHAnsi" w:cstheme="majorHAnsi"/>
          <w:lang w:val="es-US"/>
        </w:rPr>
      </w:pPr>
      <w:r w:rsidRPr="008E4846">
        <w:rPr>
          <w:rFonts w:asciiTheme="minorHAnsi" w:hAnsiTheme="minorHAnsi" w:cstheme="majorHAnsi"/>
          <w:lang w:val="es-US"/>
        </w:rPr>
        <w:t>Presentación de colas de trabajo en forma de tableros de control (dashboards)</w:t>
      </w:r>
    </w:p>
    <w:p w14:paraId="7F6DA95D" w14:textId="77777777" w:rsidR="008E4846" w:rsidRPr="008E4846" w:rsidRDefault="008E4846" w:rsidP="008E4846">
      <w:pPr>
        <w:numPr>
          <w:ilvl w:val="0"/>
          <w:numId w:val="33"/>
        </w:numPr>
        <w:jc w:val="both"/>
        <w:rPr>
          <w:rFonts w:asciiTheme="minorHAnsi" w:hAnsiTheme="minorHAnsi" w:cstheme="majorHAnsi"/>
          <w:lang w:val="es-US"/>
        </w:rPr>
      </w:pPr>
      <w:r w:rsidRPr="008E4846">
        <w:rPr>
          <w:rFonts w:asciiTheme="minorHAnsi" w:hAnsiTheme="minorHAnsi" w:cstheme="majorHAnsi"/>
          <w:lang w:val="es-US"/>
        </w:rPr>
        <w:t xml:space="preserve">Interconectividad vía webservice con el Sistema Único de Información y Recaudo (SUIR) para la extracción de los datos generales del empleador, sus representantes y deuda pendiente. </w:t>
      </w:r>
    </w:p>
    <w:p w14:paraId="2D075729" w14:textId="77777777" w:rsidR="008E4846" w:rsidRPr="008E4846" w:rsidRDefault="008E4846" w:rsidP="008E4846">
      <w:pPr>
        <w:numPr>
          <w:ilvl w:val="0"/>
          <w:numId w:val="33"/>
        </w:numPr>
        <w:jc w:val="both"/>
        <w:rPr>
          <w:rFonts w:asciiTheme="minorHAnsi" w:hAnsiTheme="minorHAnsi" w:cstheme="majorHAnsi"/>
          <w:lang w:val="es-US"/>
        </w:rPr>
      </w:pPr>
      <w:r w:rsidRPr="008E4846">
        <w:rPr>
          <w:rFonts w:asciiTheme="minorHAnsi" w:hAnsiTheme="minorHAnsi" w:cstheme="majorHAnsi"/>
          <w:lang w:val="es-US"/>
        </w:rPr>
        <w:t>Reportes estadísticos filtrados por diferentes criterios, así como presentación tipo tableros de control (dashboard) del desempeño de los gestores de cobro</w:t>
      </w:r>
    </w:p>
    <w:p w14:paraId="0DA79BD6" w14:textId="77777777" w:rsidR="008E4846" w:rsidRPr="008E4846" w:rsidRDefault="008E4846" w:rsidP="008E4846">
      <w:pPr>
        <w:numPr>
          <w:ilvl w:val="0"/>
          <w:numId w:val="33"/>
        </w:numPr>
        <w:jc w:val="both"/>
        <w:rPr>
          <w:rFonts w:asciiTheme="minorHAnsi" w:hAnsiTheme="minorHAnsi" w:cstheme="majorHAnsi"/>
          <w:lang w:val="es-US"/>
        </w:rPr>
      </w:pPr>
      <w:r w:rsidRPr="008E4846">
        <w:rPr>
          <w:rFonts w:asciiTheme="minorHAnsi" w:hAnsiTheme="minorHAnsi" w:cstheme="majorHAnsi"/>
          <w:lang w:val="es-US"/>
        </w:rPr>
        <w:t>Reportes estadísticos filtrados por diferentes criterios, así como presentación tableros de control (dashboard) de la recuperación de deuda</w:t>
      </w:r>
    </w:p>
    <w:p w14:paraId="72120F58" w14:textId="77777777" w:rsidR="008E4846" w:rsidRPr="008E4846" w:rsidRDefault="008E4846" w:rsidP="008E4846">
      <w:pPr>
        <w:numPr>
          <w:ilvl w:val="0"/>
          <w:numId w:val="33"/>
        </w:numPr>
        <w:jc w:val="both"/>
        <w:rPr>
          <w:rFonts w:asciiTheme="minorHAnsi" w:hAnsiTheme="minorHAnsi" w:cstheme="majorHAnsi"/>
          <w:lang w:val="es-US"/>
        </w:rPr>
      </w:pPr>
      <w:r w:rsidRPr="008E4846">
        <w:rPr>
          <w:rFonts w:asciiTheme="minorHAnsi" w:hAnsiTheme="minorHAnsi" w:cstheme="majorHAnsi"/>
          <w:lang w:val="es-US"/>
        </w:rPr>
        <w:t>Capacidad de crear políticas parametrizables para la asignación automática de las cuentas a los gestores de cobro</w:t>
      </w:r>
    </w:p>
    <w:p w14:paraId="39E3A26C" w14:textId="77777777" w:rsidR="008E4846" w:rsidRPr="008E4846" w:rsidRDefault="008E4846" w:rsidP="008E4846">
      <w:pPr>
        <w:numPr>
          <w:ilvl w:val="0"/>
          <w:numId w:val="33"/>
        </w:numPr>
        <w:jc w:val="both"/>
        <w:rPr>
          <w:rFonts w:asciiTheme="minorHAnsi" w:hAnsiTheme="minorHAnsi" w:cstheme="majorHAnsi"/>
          <w:lang w:val="es-US"/>
        </w:rPr>
      </w:pPr>
      <w:r w:rsidRPr="008E4846">
        <w:rPr>
          <w:rFonts w:asciiTheme="minorHAnsi" w:hAnsiTheme="minorHAnsi" w:cstheme="majorHAnsi"/>
          <w:lang w:val="es-US"/>
        </w:rPr>
        <w:t>Envío automático de correo electrónico a usuarios y a clientes (empleadores para el caso de la TSS) en mora</w:t>
      </w:r>
    </w:p>
    <w:p w14:paraId="6CDAE206" w14:textId="77777777" w:rsidR="008E4846" w:rsidRPr="008E4846" w:rsidRDefault="008E4846" w:rsidP="008E4846">
      <w:pPr>
        <w:numPr>
          <w:ilvl w:val="0"/>
          <w:numId w:val="33"/>
        </w:numPr>
        <w:jc w:val="both"/>
        <w:rPr>
          <w:rFonts w:asciiTheme="minorHAnsi" w:hAnsiTheme="minorHAnsi" w:cstheme="majorHAnsi"/>
          <w:lang w:val="es-US"/>
        </w:rPr>
      </w:pPr>
      <w:r w:rsidRPr="008E4846">
        <w:rPr>
          <w:rFonts w:asciiTheme="minorHAnsi" w:hAnsiTheme="minorHAnsi" w:cstheme="majorHAnsi"/>
          <w:lang w:val="es-US"/>
        </w:rPr>
        <w:t>Capacidad de marcado predictivo e integración con centrales IP</w:t>
      </w:r>
    </w:p>
    <w:p w14:paraId="241DE363" w14:textId="77777777" w:rsidR="008E4846" w:rsidRPr="008E4846" w:rsidRDefault="008E4846" w:rsidP="008E4846">
      <w:pPr>
        <w:numPr>
          <w:ilvl w:val="0"/>
          <w:numId w:val="33"/>
        </w:numPr>
        <w:jc w:val="both"/>
        <w:rPr>
          <w:rFonts w:asciiTheme="minorHAnsi" w:hAnsiTheme="minorHAnsi" w:cstheme="majorHAnsi"/>
          <w:lang w:val="es-US"/>
        </w:rPr>
      </w:pPr>
      <w:r w:rsidRPr="008E4846">
        <w:rPr>
          <w:rFonts w:asciiTheme="minorHAnsi" w:hAnsiTheme="minorHAnsi" w:cstheme="majorHAnsi"/>
          <w:lang w:val="es-US"/>
        </w:rPr>
        <w:t>Capacidad de integración con servicio de envíos de SMS de forma manual o masiva</w:t>
      </w:r>
    </w:p>
    <w:p w14:paraId="29A91353" w14:textId="77777777" w:rsidR="008E4846" w:rsidRPr="008E4846" w:rsidRDefault="008E4846" w:rsidP="008E4846">
      <w:pPr>
        <w:numPr>
          <w:ilvl w:val="0"/>
          <w:numId w:val="33"/>
        </w:numPr>
        <w:jc w:val="both"/>
        <w:rPr>
          <w:rFonts w:asciiTheme="minorHAnsi" w:hAnsiTheme="minorHAnsi" w:cstheme="majorHAnsi"/>
          <w:lang w:val="es-US"/>
        </w:rPr>
      </w:pPr>
      <w:r w:rsidRPr="008E4846">
        <w:rPr>
          <w:rFonts w:asciiTheme="minorHAnsi" w:hAnsiTheme="minorHAnsi" w:cstheme="majorHAnsi"/>
          <w:lang w:val="es-US"/>
        </w:rPr>
        <w:t>Manejo del flujo legal de los procesos de cobro (debe ser parametrizable)</w:t>
      </w:r>
    </w:p>
    <w:p w14:paraId="56572022" w14:textId="77777777" w:rsidR="008E4846" w:rsidRPr="008E4846" w:rsidRDefault="008E4846" w:rsidP="008E4846">
      <w:pPr>
        <w:numPr>
          <w:ilvl w:val="0"/>
          <w:numId w:val="33"/>
        </w:numPr>
        <w:jc w:val="both"/>
        <w:rPr>
          <w:rFonts w:asciiTheme="minorHAnsi" w:hAnsiTheme="minorHAnsi" w:cstheme="majorHAnsi"/>
          <w:lang w:val="es-US"/>
        </w:rPr>
      </w:pPr>
      <w:r w:rsidRPr="008E4846">
        <w:rPr>
          <w:rFonts w:asciiTheme="minorHAnsi" w:hAnsiTheme="minorHAnsi" w:cstheme="majorHAnsi"/>
          <w:lang w:val="es-US"/>
        </w:rPr>
        <w:t>Capacidad de generar carteras de cobro para ser remitida a abogados externos para recuperación</w:t>
      </w:r>
    </w:p>
    <w:p w14:paraId="67788F0B" w14:textId="77777777" w:rsidR="008E4846" w:rsidRPr="008E4846" w:rsidRDefault="008E4846" w:rsidP="008E4846">
      <w:pPr>
        <w:numPr>
          <w:ilvl w:val="0"/>
          <w:numId w:val="33"/>
        </w:numPr>
        <w:jc w:val="both"/>
        <w:rPr>
          <w:rFonts w:asciiTheme="minorHAnsi" w:hAnsiTheme="minorHAnsi" w:cstheme="majorHAnsi"/>
          <w:lang w:val="es-US"/>
        </w:rPr>
      </w:pPr>
      <w:r w:rsidRPr="008E4846">
        <w:rPr>
          <w:rFonts w:asciiTheme="minorHAnsi" w:hAnsiTheme="minorHAnsi" w:cstheme="majorHAnsi"/>
          <w:lang w:val="es-US"/>
        </w:rPr>
        <w:t>Monitoreo en línea de los gestores de cobro</w:t>
      </w:r>
    </w:p>
    <w:p w14:paraId="171478E8" w14:textId="77777777" w:rsidR="008E4846" w:rsidRPr="008E4846" w:rsidRDefault="008E4846" w:rsidP="008E4846">
      <w:pPr>
        <w:numPr>
          <w:ilvl w:val="0"/>
          <w:numId w:val="33"/>
        </w:numPr>
        <w:jc w:val="both"/>
        <w:rPr>
          <w:rFonts w:asciiTheme="minorHAnsi" w:hAnsiTheme="minorHAnsi" w:cstheme="majorHAnsi"/>
          <w:lang w:val="es-US"/>
        </w:rPr>
      </w:pPr>
      <w:r w:rsidRPr="008E4846">
        <w:rPr>
          <w:rFonts w:asciiTheme="minorHAnsi" w:hAnsiTheme="minorHAnsi" w:cstheme="majorHAnsi"/>
          <w:lang w:val="es-US"/>
        </w:rPr>
        <w:t>Capacidad de diseñar documentos personalizados para la gestión de cobros (cartas, notificaciones, actos de alguacil, etc.)</w:t>
      </w:r>
    </w:p>
    <w:p w14:paraId="076F22F1" w14:textId="77777777" w:rsidR="008E4846" w:rsidRPr="008E4846" w:rsidRDefault="008E4846" w:rsidP="008E4846">
      <w:pPr>
        <w:numPr>
          <w:ilvl w:val="0"/>
          <w:numId w:val="33"/>
        </w:numPr>
        <w:jc w:val="both"/>
        <w:rPr>
          <w:rFonts w:asciiTheme="minorHAnsi" w:hAnsiTheme="minorHAnsi" w:cstheme="majorHAnsi"/>
          <w:lang w:val="es-US"/>
        </w:rPr>
      </w:pPr>
      <w:r w:rsidRPr="008E4846">
        <w:rPr>
          <w:rFonts w:asciiTheme="minorHAnsi" w:hAnsiTheme="minorHAnsi" w:cstheme="majorHAnsi"/>
          <w:lang w:val="es-US"/>
        </w:rPr>
        <w:t>Enmascaramientos de los documentos de identidad de los representantes de empleadores y de otros campos sensitivos</w:t>
      </w:r>
    </w:p>
    <w:p w14:paraId="4D9C360A" w14:textId="77777777" w:rsidR="008E4846" w:rsidRPr="008E4846" w:rsidRDefault="008E4846" w:rsidP="008E4846">
      <w:pPr>
        <w:numPr>
          <w:ilvl w:val="0"/>
          <w:numId w:val="33"/>
        </w:numPr>
        <w:jc w:val="both"/>
        <w:rPr>
          <w:rFonts w:asciiTheme="minorHAnsi" w:hAnsiTheme="minorHAnsi" w:cstheme="majorHAnsi"/>
          <w:lang w:val="es-US"/>
        </w:rPr>
      </w:pPr>
      <w:r w:rsidRPr="008E4846">
        <w:rPr>
          <w:rFonts w:asciiTheme="minorHAnsi" w:hAnsiTheme="minorHAnsi" w:cstheme="majorHAnsi"/>
          <w:lang w:val="es-US"/>
        </w:rPr>
        <w:lastRenderedPageBreak/>
        <w:t>Administración de los usuarios de la plataforma por grupos o roles</w:t>
      </w:r>
    </w:p>
    <w:p w14:paraId="7CD20A33" w14:textId="77777777" w:rsidR="008E4846" w:rsidRPr="008E4846" w:rsidRDefault="008E4846" w:rsidP="008E4846">
      <w:pPr>
        <w:numPr>
          <w:ilvl w:val="0"/>
          <w:numId w:val="33"/>
        </w:numPr>
        <w:jc w:val="both"/>
        <w:rPr>
          <w:rFonts w:asciiTheme="minorHAnsi" w:hAnsiTheme="minorHAnsi" w:cstheme="majorHAnsi"/>
          <w:lang w:val="es-US"/>
        </w:rPr>
      </w:pPr>
      <w:r w:rsidRPr="008E4846">
        <w:rPr>
          <w:rFonts w:asciiTheme="minorHAnsi" w:hAnsiTheme="minorHAnsi" w:cstheme="majorHAnsi"/>
          <w:lang w:val="es-US"/>
        </w:rPr>
        <w:t>Capacidad de trazabilidad de las operaciones para fines de auditoría</w:t>
      </w:r>
    </w:p>
    <w:p w14:paraId="20DE4E4D" w14:textId="77777777" w:rsidR="008E4846" w:rsidRPr="008E4846" w:rsidRDefault="008E4846" w:rsidP="008E4846">
      <w:pPr>
        <w:numPr>
          <w:ilvl w:val="0"/>
          <w:numId w:val="33"/>
        </w:numPr>
        <w:jc w:val="both"/>
        <w:rPr>
          <w:rFonts w:asciiTheme="minorHAnsi" w:hAnsiTheme="minorHAnsi" w:cstheme="majorHAnsi"/>
          <w:lang w:val="es-US"/>
        </w:rPr>
      </w:pPr>
      <w:r w:rsidRPr="008E4846">
        <w:rPr>
          <w:rFonts w:asciiTheme="minorHAnsi" w:hAnsiTheme="minorHAnsi" w:cstheme="majorHAnsi"/>
          <w:lang w:val="es-US"/>
        </w:rPr>
        <w:t>Gestión de colas de trabajo de forma organizativa y jerárquica (por estatus, por saldo)</w:t>
      </w:r>
    </w:p>
    <w:p w14:paraId="0B6E988C" w14:textId="77777777" w:rsidR="008E4846" w:rsidRPr="008E4846" w:rsidRDefault="008E4846" w:rsidP="008E4846">
      <w:pPr>
        <w:numPr>
          <w:ilvl w:val="0"/>
          <w:numId w:val="33"/>
        </w:numPr>
        <w:jc w:val="both"/>
        <w:rPr>
          <w:rFonts w:asciiTheme="minorHAnsi" w:hAnsiTheme="minorHAnsi" w:cstheme="majorHAnsi"/>
          <w:lang w:val="es-US"/>
        </w:rPr>
      </w:pPr>
      <w:r w:rsidRPr="008E4846">
        <w:rPr>
          <w:rFonts w:asciiTheme="minorHAnsi" w:hAnsiTheme="minorHAnsi" w:cstheme="majorHAnsi"/>
          <w:lang w:val="es-US"/>
        </w:rPr>
        <w:t>Gestión de colas de trabajo en base a campañas parametrizadas por la TSS</w:t>
      </w:r>
    </w:p>
    <w:p w14:paraId="2CDEEBA8" w14:textId="77777777" w:rsidR="008E4846" w:rsidRPr="008E4846" w:rsidRDefault="008E4846" w:rsidP="008E4846">
      <w:pPr>
        <w:numPr>
          <w:ilvl w:val="0"/>
          <w:numId w:val="33"/>
        </w:numPr>
        <w:jc w:val="both"/>
        <w:rPr>
          <w:rFonts w:asciiTheme="minorHAnsi" w:hAnsiTheme="minorHAnsi" w:cstheme="majorHAnsi"/>
          <w:lang w:val="es-US"/>
        </w:rPr>
      </w:pPr>
      <w:r w:rsidRPr="008E4846">
        <w:rPr>
          <w:rFonts w:asciiTheme="minorHAnsi" w:hAnsiTheme="minorHAnsi" w:cstheme="majorHAnsi"/>
          <w:lang w:val="es-US"/>
        </w:rPr>
        <w:t>Gestión de colas de trabajo en base a pool de gestores</w:t>
      </w:r>
    </w:p>
    <w:p w14:paraId="7F0359BA" w14:textId="77777777" w:rsidR="008E4846" w:rsidRPr="008E4846" w:rsidRDefault="008E4846" w:rsidP="008E4846">
      <w:pPr>
        <w:numPr>
          <w:ilvl w:val="0"/>
          <w:numId w:val="33"/>
        </w:numPr>
        <w:jc w:val="both"/>
        <w:rPr>
          <w:rFonts w:asciiTheme="minorHAnsi" w:hAnsiTheme="minorHAnsi" w:cstheme="majorHAnsi"/>
          <w:lang w:val="es-US"/>
        </w:rPr>
      </w:pPr>
      <w:r w:rsidRPr="008E4846">
        <w:rPr>
          <w:rFonts w:asciiTheme="minorHAnsi" w:hAnsiTheme="minorHAnsi" w:cstheme="majorHAnsi"/>
          <w:lang w:val="es-US"/>
        </w:rPr>
        <w:t>Gestión de colas de trabajo en base a dashboards</w:t>
      </w:r>
    </w:p>
    <w:p w14:paraId="3E9642A2" w14:textId="77777777" w:rsidR="008E4846" w:rsidRPr="008E4846" w:rsidRDefault="008E4846" w:rsidP="008E4846">
      <w:pPr>
        <w:numPr>
          <w:ilvl w:val="0"/>
          <w:numId w:val="33"/>
        </w:numPr>
        <w:jc w:val="both"/>
        <w:rPr>
          <w:rFonts w:asciiTheme="minorHAnsi" w:hAnsiTheme="minorHAnsi" w:cstheme="majorHAnsi"/>
          <w:lang w:val="es-US"/>
        </w:rPr>
      </w:pPr>
      <w:r w:rsidRPr="008E4846">
        <w:rPr>
          <w:rFonts w:asciiTheme="minorHAnsi" w:hAnsiTheme="minorHAnsi" w:cstheme="majorHAnsi"/>
          <w:lang w:val="es-US"/>
        </w:rPr>
        <w:t>Gestión de colas de trabajo de forma selectiva</w:t>
      </w:r>
    </w:p>
    <w:p w14:paraId="258729AE" w14:textId="77777777" w:rsidR="008E4846" w:rsidRPr="008E4846" w:rsidRDefault="008E4846" w:rsidP="008E4846">
      <w:pPr>
        <w:numPr>
          <w:ilvl w:val="0"/>
          <w:numId w:val="33"/>
        </w:numPr>
        <w:jc w:val="both"/>
        <w:rPr>
          <w:rFonts w:asciiTheme="minorHAnsi" w:hAnsiTheme="minorHAnsi" w:cstheme="majorHAnsi"/>
          <w:lang w:val="es-US"/>
        </w:rPr>
      </w:pPr>
      <w:r w:rsidRPr="008E4846">
        <w:rPr>
          <w:rFonts w:asciiTheme="minorHAnsi" w:hAnsiTheme="minorHAnsi" w:cstheme="majorHAnsi"/>
          <w:lang w:val="es-US"/>
        </w:rPr>
        <w:t>Consultas de cuentas parametrizables a través de dashboards</w:t>
      </w:r>
    </w:p>
    <w:p w14:paraId="4D56B01B" w14:textId="77777777" w:rsidR="008E4846" w:rsidRPr="008E4846" w:rsidRDefault="008E4846" w:rsidP="008E4846">
      <w:pPr>
        <w:numPr>
          <w:ilvl w:val="0"/>
          <w:numId w:val="33"/>
        </w:numPr>
        <w:jc w:val="both"/>
        <w:rPr>
          <w:rFonts w:asciiTheme="minorHAnsi" w:hAnsiTheme="minorHAnsi" w:cstheme="majorHAnsi"/>
          <w:lang w:val="es-US"/>
        </w:rPr>
      </w:pPr>
      <w:r w:rsidRPr="008E4846">
        <w:rPr>
          <w:rFonts w:asciiTheme="minorHAnsi" w:hAnsiTheme="minorHAnsi" w:cstheme="majorHAnsi"/>
          <w:lang w:val="es-US"/>
        </w:rPr>
        <w:t>Información básica de los deudores relacionados, datos demográficos, obligaciones de pago, pagos realizados, gastos relacionados</w:t>
      </w:r>
    </w:p>
    <w:p w14:paraId="11AEE8FB" w14:textId="77777777" w:rsidR="008E4846" w:rsidRPr="008E4846" w:rsidRDefault="008E4846" w:rsidP="008E4846">
      <w:pPr>
        <w:numPr>
          <w:ilvl w:val="0"/>
          <w:numId w:val="33"/>
        </w:numPr>
        <w:jc w:val="both"/>
        <w:rPr>
          <w:rFonts w:asciiTheme="minorHAnsi" w:hAnsiTheme="minorHAnsi" w:cstheme="majorHAnsi"/>
          <w:lang w:val="es-US"/>
        </w:rPr>
      </w:pPr>
      <w:r w:rsidRPr="008E4846">
        <w:rPr>
          <w:rFonts w:asciiTheme="minorHAnsi" w:hAnsiTheme="minorHAnsi" w:cstheme="majorHAnsi"/>
          <w:lang w:val="es-US"/>
        </w:rPr>
        <w:t>Consultas estadísticas de la labor realizada por los gestores por tramos de fecha, balance, tipo de cliente (tipo de empleador en el caso de TSS)</w:t>
      </w:r>
    </w:p>
    <w:p w14:paraId="7E2CB19B" w14:textId="77777777" w:rsidR="008E4846" w:rsidRPr="008E4846" w:rsidRDefault="008E4846" w:rsidP="008E4846">
      <w:pPr>
        <w:ind w:firstLine="708"/>
        <w:rPr>
          <w:rFonts w:asciiTheme="minorHAnsi" w:hAnsiTheme="minorHAnsi"/>
          <w:b/>
          <w:lang w:val="es-DO"/>
        </w:rPr>
      </w:pPr>
    </w:p>
    <w:p w14:paraId="13A69201" w14:textId="77777777" w:rsidR="008E4846" w:rsidRPr="008E4846" w:rsidRDefault="008E4846" w:rsidP="008E4846">
      <w:pPr>
        <w:ind w:firstLine="708"/>
        <w:rPr>
          <w:rFonts w:asciiTheme="minorHAnsi" w:hAnsiTheme="minorHAnsi"/>
          <w:b/>
          <w:lang w:val="es-DO"/>
        </w:rPr>
      </w:pPr>
      <w:r w:rsidRPr="008E4846">
        <w:rPr>
          <w:rFonts w:asciiTheme="minorHAnsi" w:hAnsiTheme="minorHAnsi"/>
          <w:b/>
          <w:lang w:val="es-DO"/>
        </w:rPr>
        <w:t>Funcionalidades de Supervisión</w:t>
      </w:r>
    </w:p>
    <w:p w14:paraId="783BEC3A" w14:textId="77777777" w:rsidR="008E4846" w:rsidRPr="008E4846" w:rsidRDefault="008E4846" w:rsidP="008E4846">
      <w:pPr>
        <w:numPr>
          <w:ilvl w:val="0"/>
          <w:numId w:val="35"/>
        </w:numPr>
        <w:jc w:val="both"/>
        <w:rPr>
          <w:rFonts w:asciiTheme="minorHAnsi" w:hAnsiTheme="minorHAnsi" w:cstheme="majorHAnsi"/>
          <w:lang w:val="es-US"/>
        </w:rPr>
      </w:pPr>
      <w:r w:rsidRPr="008E4846">
        <w:rPr>
          <w:rFonts w:asciiTheme="minorHAnsi" w:hAnsiTheme="minorHAnsi" w:cstheme="majorHAnsi"/>
          <w:lang w:val="es-US"/>
        </w:rPr>
        <w:t>Monitoreo en línea de los gestores de cobro y sus actividades</w:t>
      </w:r>
    </w:p>
    <w:p w14:paraId="2DE2724B" w14:textId="77777777" w:rsidR="008E4846" w:rsidRPr="008E4846" w:rsidRDefault="008E4846" w:rsidP="008E4846">
      <w:pPr>
        <w:numPr>
          <w:ilvl w:val="0"/>
          <w:numId w:val="35"/>
        </w:numPr>
        <w:jc w:val="both"/>
        <w:rPr>
          <w:rFonts w:asciiTheme="minorHAnsi" w:hAnsiTheme="minorHAnsi" w:cstheme="majorHAnsi"/>
          <w:lang w:val="es-US"/>
        </w:rPr>
      </w:pPr>
      <w:r w:rsidRPr="008E4846">
        <w:rPr>
          <w:rFonts w:asciiTheme="minorHAnsi" w:hAnsiTheme="minorHAnsi" w:cstheme="majorHAnsi"/>
          <w:lang w:val="es-US"/>
        </w:rPr>
        <w:t>Consulta consolidada de productividad por gestores</w:t>
      </w:r>
    </w:p>
    <w:p w14:paraId="63477F96" w14:textId="77777777" w:rsidR="008E4846" w:rsidRPr="008E4846" w:rsidRDefault="008E4846" w:rsidP="008E4846">
      <w:pPr>
        <w:numPr>
          <w:ilvl w:val="0"/>
          <w:numId w:val="35"/>
        </w:numPr>
        <w:jc w:val="both"/>
        <w:rPr>
          <w:rFonts w:asciiTheme="minorHAnsi" w:hAnsiTheme="minorHAnsi" w:cstheme="majorHAnsi"/>
          <w:lang w:val="es-US"/>
        </w:rPr>
      </w:pPr>
      <w:r w:rsidRPr="008E4846">
        <w:rPr>
          <w:rFonts w:asciiTheme="minorHAnsi" w:hAnsiTheme="minorHAnsi" w:cstheme="majorHAnsi"/>
          <w:lang w:val="es-US"/>
        </w:rPr>
        <w:t>Consulta consolidada de cartera global por tipo de cliente (empleadores en caso de TSS), estatus, gestores, etc.</w:t>
      </w:r>
    </w:p>
    <w:p w14:paraId="48F67D40" w14:textId="77777777" w:rsidR="008E4846" w:rsidRPr="008E4846" w:rsidRDefault="008E4846" w:rsidP="008E4846">
      <w:pPr>
        <w:numPr>
          <w:ilvl w:val="0"/>
          <w:numId w:val="35"/>
        </w:numPr>
        <w:jc w:val="both"/>
        <w:rPr>
          <w:rFonts w:asciiTheme="minorHAnsi" w:hAnsiTheme="minorHAnsi" w:cstheme="majorHAnsi"/>
          <w:lang w:val="es-US"/>
        </w:rPr>
      </w:pPr>
      <w:r w:rsidRPr="008E4846">
        <w:rPr>
          <w:rFonts w:asciiTheme="minorHAnsi" w:hAnsiTheme="minorHAnsi" w:cstheme="majorHAnsi"/>
          <w:lang w:val="es-US"/>
        </w:rPr>
        <w:t>Dashboards estadísticos de productividad de gestores y cartera</w:t>
      </w:r>
    </w:p>
    <w:p w14:paraId="332FDF56" w14:textId="77777777" w:rsidR="008E4846" w:rsidRPr="008E4846" w:rsidRDefault="008E4846" w:rsidP="008E4846">
      <w:pPr>
        <w:numPr>
          <w:ilvl w:val="0"/>
          <w:numId w:val="35"/>
        </w:numPr>
        <w:jc w:val="both"/>
        <w:rPr>
          <w:rFonts w:asciiTheme="minorHAnsi" w:hAnsiTheme="minorHAnsi" w:cstheme="majorHAnsi"/>
          <w:lang w:val="es-US"/>
        </w:rPr>
      </w:pPr>
      <w:r w:rsidRPr="008E4846">
        <w:rPr>
          <w:rFonts w:asciiTheme="minorHAnsi" w:hAnsiTheme="minorHAnsi" w:cstheme="majorHAnsi"/>
          <w:lang w:val="es-US"/>
        </w:rPr>
        <w:t>Control de asistencia de los gestores</w:t>
      </w:r>
    </w:p>
    <w:p w14:paraId="4E97ACF9" w14:textId="77777777" w:rsidR="008E4846" w:rsidRPr="008E4846" w:rsidRDefault="008E4846" w:rsidP="008E4846">
      <w:pPr>
        <w:numPr>
          <w:ilvl w:val="0"/>
          <w:numId w:val="35"/>
        </w:numPr>
        <w:jc w:val="both"/>
        <w:rPr>
          <w:rFonts w:asciiTheme="minorHAnsi" w:hAnsiTheme="minorHAnsi" w:cstheme="majorHAnsi"/>
          <w:lang w:val="es-US"/>
        </w:rPr>
      </w:pPr>
      <w:r w:rsidRPr="008E4846">
        <w:rPr>
          <w:rFonts w:asciiTheme="minorHAnsi" w:hAnsiTheme="minorHAnsi" w:cstheme="majorHAnsi"/>
          <w:lang w:val="es-US"/>
        </w:rPr>
        <w:t>Notificación automática vía email de asistencia y productividad</w:t>
      </w:r>
    </w:p>
    <w:p w14:paraId="2BD3B848" w14:textId="77777777" w:rsidR="008E4846" w:rsidRPr="008E4846" w:rsidRDefault="008E4846" w:rsidP="008E4846">
      <w:pPr>
        <w:ind w:firstLine="708"/>
        <w:rPr>
          <w:rFonts w:asciiTheme="minorHAnsi" w:eastAsia="Times New Roman" w:hAnsiTheme="minorHAnsi" w:cstheme="minorHAnsi"/>
          <w:b/>
          <w:color w:val="000000"/>
          <w:lang w:val="es-DO"/>
        </w:rPr>
      </w:pPr>
    </w:p>
    <w:p w14:paraId="7451643D" w14:textId="77777777" w:rsidR="008E4846" w:rsidRPr="008E4846" w:rsidRDefault="008E4846" w:rsidP="008E4846">
      <w:pPr>
        <w:ind w:firstLine="708"/>
        <w:rPr>
          <w:rFonts w:asciiTheme="minorHAnsi" w:hAnsiTheme="minorHAnsi"/>
          <w:lang w:val="es-DO"/>
        </w:rPr>
      </w:pPr>
      <w:r w:rsidRPr="008E4846">
        <w:rPr>
          <w:rFonts w:asciiTheme="minorHAnsi" w:eastAsia="Times New Roman" w:hAnsiTheme="minorHAnsi" w:cstheme="minorHAnsi"/>
          <w:b/>
          <w:color w:val="000000"/>
          <w:lang w:val="es-DO"/>
        </w:rPr>
        <w:t xml:space="preserve">Funcionalidades de Valor Agregado </w:t>
      </w:r>
    </w:p>
    <w:p w14:paraId="717F804D" w14:textId="77777777" w:rsidR="008E4846" w:rsidRPr="008E4846" w:rsidRDefault="008E4846" w:rsidP="008E4846">
      <w:pPr>
        <w:numPr>
          <w:ilvl w:val="0"/>
          <w:numId w:val="36"/>
        </w:numPr>
        <w:jc w:val="both"/>
        <w:rPr>
          <w:rFonts w:asciiTheme="minorHAnsi" w:hAnsiTheme="minorHAnsi" w:cstheme="majorHAnsi"/>
          <w:lang w:val="es-US"/>
        </w:rPr>
      </w:pPr>
      <w:r w:rsidRPr="008E4846">
        <w:rPr>
          <w:rFonts w:asciiTheme="minorHAnsi" w:hAnsiTheme="minorHAnsi" w:cstheme="majorHAnsi"/>
          <w:lang w:val="es-US"/>
        </w:rPr>
        <w:t>Reportes exportables a CSV y TXT</w:t>
      </w:r>
    </w:p>
    <w:p w14:paraId="436A0BD3" w14:textId="77777777" w:rsidR="008E4846" w:rsidRPr="008E4846" w:rsidRDefault="008E4846" w:rsidP="008E4846">
      <w:pPr>
        <w:numPr>
          <w:ilvl w:val="0"/>
          <w:numId w:val="36"/>
        </w:numPr>
        <w:jc w:val="both"/>
        <w:rPr>
          <w:rFonts w:asciiTheme="minorHAnsi" w:hAnsiTheme="minorHAnsi" w:cstheme="majorHAnsi"/>
          <w:lang w:val="es-US"/>
        </w:rPr>
      </w:pPr>
      <w:r w:rsidRPr="008E4846">
        <w:rPr>
          <w:rFonts w:asciiTheme="minorHAnsi" w:hAnsiTheme="minorHAnsi" w:cstheme="majorHAnsi"/>
          <w:lang w:val="es-US"/>
        </w:rPr>
        <w:t>Expiración de passwords</w:t>
      </w:r>
    </w:p>
    <w:p w14:paraId="56546F40" w14:textId="77777777" w:rsidR="008E4846" w:rsidRPr="008E4846" w:rsidRDefault="008E4846" w:rsidP="008E4846">
      <w:pPr>
        <w:numPr>
          <w:ilvl w:val="0"/>
          <w:numId w:val="36"/>
        </w:numPr>
        <w:jc w:val="both"/>
        <w:rPr>
          <w:rFonts w:asciiTheme="minorHAnsi" w:hAnsiTheme="minorHAnsi" w:cstheme="majorHAnsi"/>
          <w:lang w:val="es-US"/>
        </w:rPr>
      </w:pPr>
      <w:r w:rsidRPr="008E4846">
        <w:rPr>
          <w:rFonts w:asciiTheme="minorHAnsi" w:hAnsiTheme="minorHAnsi" w:cstheme="majorHAnsi"/>
          <w:lang w:val="es-US"/>
        </w:rPr>
        <w:t>Permite cambio de passwords de usuarios</w:t>
      </w:r>
    </w:p>
    <w:p w14:paraId="003CBCAD" w14:textId="77777777" w:rsidR="008E4846" w:rsidRPr="008E4846" w:rsidRDefault="008E4846" w:rsidP="008E4846">
      <w:pPr>
        <w:numPr>
          <w:ilvl w:val="0"/>
          <w:numId w:val="36"/>
        </w:numPr>
        <w:jc w:val="both"/>
        <w:rPr>
          <w:rFonts w:asciiTheme="minorHAnsi" w:hAnsiTheme="minorHAnsi" w:cstheme="majorHAnsi"/>
          <w:lang w:val="es-US"/>
        </w:rPr>
      </w:pPr>
      <w:r w:rsidRPr="008E4846">
        <w:rPr>
          <w:rFonts w:asciiTheme="minorHAnsi" w:hAnsiTheme="minorHAnsi" w:cstheme="majorHAnsi"/>
          <w:lang w:val="es-US"/>
        </w:rPr>
        <w:t>Definición de características de passwords seguros</w:t>
      </w:r>
    </w:p>
    <w:p w14:paraId="351EE4D5" w14:textId="77777777" w:rsidR="008E4846" w:rsidRPr="008E4846" w:rsidRDefault="008E4846" w:rsidP="008E4846">
      <w:pPr>
        <w:numPr>
          <w:ilvl w:val="0"/>
          <w:numId w:val="36"/>
        </w:numPr>
        <w:jc w:val="both"/>
        <w:rPr>
          <w:rFonts w:asciiTheme="minorHAnsi" w:hAnsiTheme="minorHAnsi" w:cstheme="majorHAnsi"/>
          <w:lang w:val="es-US"/>
        </w:rPr>
      </w:pPr>
      <w:r w:rsidRPr="008E4846">
        <w:rPr>
          <w:rFonts w:asciiTheme="minorHAnsi" w:hAnsiTheme="minorHAnsi" w:cstheme="majorHAnsi"/>
          <w:lang w:val="es-US"/>
        </w:rPr>
        <w:t>Soporte de cifrado de passwords</w:t>
      </w:r>
    </w:p>
    <w:p w14:paraId="7D3D8AC1" w14:textId="77777777" w:rsidR="008E4846" w:rsidRPr="008E4846" w:rsidRDefault="008E4846" w:rsidP="008E4846">
      <w:pPr>
        <w:numPr>
          <w:ilvl w:val="0"/>
          <w:numId w:val="36"/>
        </w:numPr>
        <w:jc w:val="both"/>
        <w:rPr>
          <w:rFonts w:asciiTheme="minorHAnsi" w:hAnsiTheme="minorHAnsi" w:cstheme="majorHAnsi"/>
          <w:lang w:val="en-US"/>
        </w:rPr>
      </w:pPr>
      <w:r w:rsidRPr="008E4846">
        <w:rPr>
          <w:rFonts w:asciiTheme="minorHAnsi" w:hAnsiTheme="minorHAnsi" w:cstheme="majorHAnsi"/>
          <w:lang w:val="en-US"/>
        </w:rPr>
        <w:t>Integración con Active Directory / Single Sing-on</w:t>
      </w:r>
    </w:p>
    <w:p w14:paraId="3D01125D" w14:textId="77777777" w:rsidR="008E4846" w:rsidRPr="008E4846" w:rsidRDefault="008E4846" w:rsidP="008E4846">
      <w:pPr>
        <w:numPr>
          <w:ilvl w:val="0"/>
          <w:numId w:val="36"/>
        </w:numPr>
        <w:jc w:val="both"/>
        <w:rPr>
          <w:rFonts w:asciiTheme="minorHAnsi" w:hAnsiTheme="minorHAnsi" w:cstheme="majorHAnsi"/>
          <w:lang w:val="es-US"/>
        </w:rPr>
      </w:pPr>
      <w:r w:rsidRPr="008E4846">
        <w:rPr>
          <w:rFonts w:asciiTheme="minorHAnsi" w:hAnsiTheme="minorHAnsi" w:cstheme="majorHAnsi"/>
          <w:lang w:val="es-US"/>
        </w:rPr>
        <w:t>Bloqueo automático de cuentas por inactividad</w:t>
      </w:r>
    </w:p>
    <w:p w14:paraId="6D2A4430" w14:textId="77777777" w:rsidR="008E4846" w:rsidRPr="008E4846" w:rsidRDefault="008E4846" w:rsidP="008E4846">
      <w:pPr>
        <w:numPr>
          <w:ilvl w:val="0"/>
          <w:numId w:val="36"/>
        </w:numPr>
        <w:jc w:val="both"/>
        <w:rPr>
          <w:rFonts w:asciiTheme="minorHAnsi" w:hAnsiTheme="minorHAnsi" w:cstheme="majorHAnsi"/>
          <w:lang w:val="es-US"/>
        </w:rPr>
      </w:pPr>
      <w:r w:rsidRPr="008E4846">
        <w:rPr>
          <w:rFonts w:asciiTheme="minorHAnsi" w:hAnsiTheme="minorHAnsi" w:cstheme="majorHAnsi"/>
          <w:lang w:val="es-US"/>
        </w:rPr>
        <w:t>Uso de captcha en proceso de autenticación</w:t>
      </w:r>
    </w:p>
    <w:p w14:paraId="0986CD71" w14:textId="77777777" w:rsidR="008E4846" w:rsidRPr="008E4846" w:rsidRDefault="008E4846" w:rsidP="008E4846">
      <w:pPr>
        <w:pStyle w:val="ListParagraph"/>
        <w:numPr>
          <w:ilvl w:val="0"/>
          <w:numId w:val="36"/>
        </w:numPr>
        <w:jc w:val="both"/>
        <w:rPr>
          <w:rFonts w:asciiTheme="minorHAnsi" w:hAnsiTheme="minorHAnsi" w:cstheme="majorHAnsi"/>
          <w:b/>
          <w:lang w:val="es-US"/>
        </w:rPr>
      </w:pPr>
      <w:r w:rsidRPr="008E4846">
        <w:rPr>
          <w:rFonts w:asciiTheme="minorHAnsi" w:hAnsiTheme="minorHAnsi" w:cstheme="majorHAnsi"/>
          <w:lang w:val="es-US"/>
        </w:rPr>
        <w:t xml:space="preserve">Conexión al aplicativo de forma segura (cifrado del canal de comunicación) </w:t>
      </w:r>
    </w:p>
    <w:p w14:paraId="13842006" w14:textId="77777777" w:rsidR="008E4846" w:rsidRPr="008E4846" w:rsidRDefault="008E4846" w:rsidP="008E4846">
      <w:pPr>
        <w:ind w:left="720"/>
        <w:jc w:val="both"/>
        <w:rPr>
          <w:rFonts w:asciiTheme="minorHAnsi" w:hAnsiTheme="minorHAnsi" w:cstheme="majorHAnsi"/>
          <w:b/>
          <w:lang w:val="es-US"/>
        </w:rPr>
      </w:pPr>
    </w:p>
    <w:p w14:paraId="4ECD53F4" w14:textId="77777777" w:rsidR="008E4846" w:rsidRPr="008E4846" w:rsidRDefault="008E4846" w:rsidP="008E4846">
      <w:pPr>
        <w:jc w:val="both"/>
        <w:rPr>
          <w:rFonts w:asciiTheme="minorHAnsi" w:hAnsiTheme="minorHAnsi" w:cstheme="majorHAnsi"/>
          <w:b/>
          <w:lang w:val="es-US"/>
        </w:rPr>
      </w:pPr>
      <w:r w:rsidRPr="008E4846">
        <w:rPr>
          <w:rFonts w:asciiTheme="minorHAnsi" w:hAnsiTheme="minorHAnsi" w:cstheme="majorHAnsi"/>
          <w:b/>
          <w:lang w:val="es-US"/>
        </w:rPr>
        <w:t>Funcionalidades de los Servicios Conexos (Instalación, Configuración, Implementación y Soporte)</w:t>
      </w:r>
    </w:p>
    <w:p w14:paraId="361AA650" w14:textId="77777777" w:rsidR="008E4846" w:rsidRPr="008E4846" w:rsidRDefault="008E4846" w:rsidP="008E4846">
      <w:pPr>
        <w:numPr>
          <w:ilvl w:val="0"/>
          <w:numId w:val="34"/>
        </w:numPr>
        <w:jc w:val="both"/>
        <w:rPr>
          <w:rFonts w:asciiTheme="minorHAnsi" w:hAnsiTheme="minorHAnsi" w:cstheme="majorHAnsi"/>
          <w:lang w:val="es-US"/>
        </w:rPr>
      </w:pPr>
      <w:r w:rsidRPr="008E4846">
        <w:rPr>
          <w:rFonts w:asciiTheme="minorHAnsi" w:hAnsiTheme="minorHAnsi" w:cstheme="majorHAnsi"/>
          <w:lang w:val="es-US"/>
        </w:rPr>
        <w:t>Auditoria/Trazabilidad de cambios de tablas de parámetros</w:t>
      </w:r>
    </w:p>
    <w:p w14:paraId="376B0967" w14:textId="77777777" w:rsidR="008E4846" w:rsidRPr="008E4846" w:rsidRDefault="008E4846" w:rsidP="008E4846">
      <w:pPr>
        <w:numPr>
          <w:ilvl w:val="0"/>
          <w:numId w:val="34"/>
        </w:numPr>
        <w:jc w:val="both"/>
        <w:rPr>
          <w:rFonts w:asciiTheme="minorHAnsi" w:hAnsiTheme="minorHAnsi" w:cstheme="majorHAnsi"/>
          <w:lang w:val="es-US"/>
        </w:rPr>
      </w:pPr>
      <w:r w:rsidRPr="008E4846">
        <w:rPr>
          <w:rFonts w:asciiTheme="minorHAnsi" w:hAnsiTheme="minorHAnsi" w:cstheme="majorHAnsi"/>
          <w:lang w:val="es-US"/>
        </w:rPr>
        <w:t>Instalación y Configuración de la plataforma para un máximo de quince (15) gestores de cobros</w:t>
      </w:r>
    </w:p>
    <w:p w14:paraId="2054930E" w14:textId="77777777" w:rsidR="008E4846" w:rsidRPr="008E4846" w:rsidRDefault="008E4846" w:rsidP="008E4846">
      <w:pPr>
        <w:numPr>
          <w:ilvl w:val="0"/>
          <w:numId w:val="34"/>
        </w:numPr>
        <w:jc w:val="both"/>
        <w:rPr>
          <w:rFonts w:asciiTheme="minorHAnsi" w:hAnsiTheme="minorHAnsi" w:cstheme="majorHAnsi"/>
          <w:lang w:val="es-US"/>
        </w:rPr>
      </w:pPr>
      <w:r w:rsidRPr="008E4846">
        <w:rPr>
          <w:rFonts w:asciiTheme="minorHAnsi" w:hAnsiTheme="minorHAnsi" w:cstheme="majorHAnsi"/>
          <w:lang w:val="es-US"/>
        </w:rPr>
        <w:t>Integración vía webservice con el servicio de envío de SMS utilizado por la TSS</w:t>
      </w:r>
    </w:p>
    <w:p w14:paraId="679A435F" w14:textId="77777777" w:rsidR="008E4846" w:rsidRPr="008E4846" w:rsidRDefault="008E4846" w:rsidP="008E4846">
      <w:pPr>
        <w:numPr>
          <w:ilvl w:val="0"/>
          <w:numId w:val="34"/>
        </w:numPr>
        <w:jc w:val="both"/>
        <w:rPr>
          <w:rFonts w:asciiTheme="minorHAnsi" w:hAnsiTheme="minorHAnsi" w:cstheme="majorHAnsi"/>
          <w:lang w:val="es-US"/>
        </w:rPr>
      </w:pPr>
      <w:r w:rsidRPr="008E4846">
        <w:rPr>
          <w:rFonts w:asciiTheme="minorHAnsi" w:hAnsiTheme="minorHAnsi" w:cstheme="majorHAnsi"/>
          <w:lang w:val="es-US"/>
        </w:rPr>
        <w:t>Integración vía webservice con el Sistema Único de Información y Recaudo para extracción de datos de empleadores (datos generales, representantes, deuda)</w:t>
      </w:r>
    </w:p>
    <w:p w14:paraId="241771B3" w14:textId="77777777" w:rsidR="008E4846" w:rsidRPr="008E4846" w:rsidRDefault="008E4846" w:rsidP="008E4846">
      <w:pPr>
        <w:numPr>
          <w:ilvl w:val="0"/>
          <w:numId w:val="34"/>
        </w:numPr>
        <w:jc w:val="both"/>
        <w:rPr>
          <w:rFonts w:asciiTheme="minorHAnsi" w:hAnsiTheme="minorHAnsi" w:cstheme="majorHAnsi"/>
          <w:lang w:val="es-US"/>
        </w:rPr>
      </w:pPr>
      <w:r w:rsidRPr="008E4846">
        <w:rPr>
          <w:rFonts w:asciiTheme="minorHAnsi" w:eastAsia="Times New Roman" w:hAnsiTheme="minorHAnsi" w:cstheme="majorHAnsi"/>
          <w:color w:val="000000"/>
          <w:lang w:val="es-DO"/>
        </w:rPr>
        <w:t xml:space="preserve">Parametrización </w:t>
      </w:r>
      <w:r w:rsidRPr="008E4846">
        <w:rPr>
          <w:rFonts w:asciiTheme="minorHAnsi" w:hAnsiTheme="minorHAnsi" w:cstheme="majorHAnsi"/>
          <w:lang w:val="es-US"/>
        </w:rPr>
        <w:t>total del aplicativo incluyendo el manejo del flujo legal de los procesos de cobro y de la app móvil</w:t>
      </w:r>
    </w:p>
    <w:p w14:paraId="32719FDE" w14:textId="77777777" w:rsidR="008E4846" w:rsidRPr="008E4846" w:rsidRDefault="008E4846" w:rsidP="008E4846">
      <w:pPr>
        <w:numPr>
          <w:ilvl w:val="0"/>
          <w:numId w:val="34"/>
        </w:numPr>
        <w:jc w:val="both"/>
        <w:rPr>
          <w:rFonts w:asciiTheme="minorHAnsi" w:hAnsiTheme="minorHAnsi" w:cstheme="majorHAnsi"/>
          <w:lang w:val="es-US"/>
        </w:rPr>
      </w:pPr>
      <w:r w:rsidRPr="008E4846">
        <w:rPr>
          <w:rFonts w:asciiTheme="minorHAnsi" w:hAnsiTheme="minorHAnsi" w:cstheme="majorHAnsi"/>
          <w:lang w:val="es-US"/>
        </w:rPr>
        <w:t>Esquema de transferencia de conocimientos en el proceso de implementación</w:t>
      </w:r>
    </w:p>
    <w:p w14:paraId="4C0ED832" w14:textId="77777777" w:rsidR="008E4846" w:rsidRPr="008E4846" w:rsidRDefault="008E4846" w:rsidP="008E4846">
      <w:pPr>
        <w:numPr>
          <w:ilvl w:val="0"/>
          <w:numId w:val="34"/>
        </w:numPr>
        <w:jc w:val="both"/>
        <w:rPr>
          <w:rFonts w:asciiTheme="minorHAnsi" w:hAnsiTheme="minorHAnsi" w:cstheme="majorHAnsi"/>
          <w:lang w:val="es-US"/>
        </w:rPr>
      </w:pPr>
      <w:r w:rsidRPr="008E4846">
        <w:rPr>
          <w:rFonts w:asciiTheme="minorHAnsi" w:hAnsiTheme="minorHAnsi" w:cstheme="majorHAnsi"/>
          <w:lang w:val="es-US"/>
        </w:rPr>
        <w:t>Plan de capacitación</w:t>
      </w:r>
    </w:p>
    <w:p w14:paraId="7088DA1E" w14:textId="77777777" w:rsidR="008E4846" w:rsidRPr="008E4846" w:rsidRDefault="008E4846" w:rsidP="008E4846">
      <w:pPr>
        <w:numPr>
          <w:ilvl w:val="0"/>
          <w:numId w:val="34"/>
        </w:numPr>
        <w:jc w:val="both"/>
        <w:rPr>
          <w:rFonts w:asciiTheme="minorHAnsi" w:hAnsiTheme="minorHAnsi" w:cstheme="majorHAnsi"/>
          <w:lang w:val="es-US"/>
        </w:rPr>
      </w:pPr>
      <w:r w:rsidRPr="008E4846">
        <w:rPr>
          <w:rFonts w:asciiTheme="minorHAnsi" w:hAnsiTheme="minorHAnsi" w:cstheme="majorHAnsi"/>
          <w:lang w:val="es-US"/>
        </w:rPr>
        <w:t>Mantenimiento y actualizaciones a demanda por la TSS mediante solicitudes vía correo electrónico o carta (1 año de mantenimiento)</w:t>
      </w:r>
    </w:p>
    <w:p w14:paraId="4D249693" w14:textId="77777777" w:rsidR="008E4846" w:rsidRPr="008E4846" w:rsidRDefault="008E4846" w:rsidP="008E4846">
      <w:pPr>
        <w:numPr>
          <w:ilvl w:val="0"/>
          <w:numId w:val="34"/>
        </w:numPr>
        <w:jc w:val="both"/>
        <w:rPr>
          <w:rFonts w:asciiTheme="minorHAnsi" w:eastAsia="Times New Roman" w:hAnsiTheme="minorHAnsi" w:cstheme="majorHAnsi"/>
          <w:color w:val="000000"/>
          <w:lang w:val="es-DO"/>
        </w:rPr>
      </w:pPr>
      <w:r w:rsidRPr="008E4846">
        <w:rPr>
          <w:rFonts w:asciiTheme="minorHAnsi" w:hAnsiTheme="minorHAnsi" w:cstheme="majorHAnsi"/>
          <w:lang w:val="es-US"/>
        </w:rPr>
        <w:t>Soporte técnico post venta</w:t>
      </w:r>
      <w:r w:rsidRPr="008E4846">
        <w:rPr>
          <w:rFonts w:asciiTheme="minorHAnsi" w:eastAsia="Times New Roman" w:hAnsiTheme="minorHAnsi" w:cstheme="majorHAnsi"/>
          <w:color w:val="000000"/>
          <w:lang w:val="es-DO"/>
        </w:rPr>
        <w:t xml:space="preserve"> telefónico, en línea y presencial por un (1) año</w:t>
      </w:r>
    </w:p>
    <w:p w14:paraId="0FB171FA" w14:textId="77777777" w:rsidR="008E4846" w:rsidRPr="00920A19" w:rsidRDefault="008E4846" w:rsidP="008E4846">
      <w:pPr>
        <w:jc w:val="both"/>
        <w:rPr>
          <w:rFonts w:asciiTheme="majorHAnsi" w:hAnsiTheme="majorHAnsi" w:cstheme="majorHAnsi"/>
          <w:sz w:val="19"/>
          <w:szCs w:val="19"/>
          <w:lang w:val="es-US"/>
        </w:rPr>
      </w:pPr>
    </w:p>
    <w:p w14:paraId="28F5700B" w14:textId="0A97DD5B"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0E603D81"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de </w:t>
      </w:r>
      <w:r w:rsidR="002D629D">
        <w:rPr>
          <w:rFonts w:asciiTheme="minorHAnsi" w:hAnsiTheme="minorHAnsi" w:cs="Calibri"/>
          <w:color w:val="000000"/>
          <w:lang w:val="es-DO"/>
        </w:rPr>
        <w:t>dieciocho</w:t>
      </w:r>
      <w:r w:rsidR="00D03C60" w:rsidRPr="005C3607">
        <w:rPr>
          <w:rFonts w:asciiTheme="minorHAnsi" w:hAnsiTheme="minorHAnsi" w:cs="Calibri"/>
          <w:color w:val="000000"/>
          <w:lang w:val="es-DO"/>
        </w:rPr>
        <w:t xml:space="preserve"> (</w:t>
      </w:r>
      <w:r w:rsidR="002D629D">
        <w:rPr>
          <w:rFonts w:asciiTheme="minorHAnsi" w:hAnsiTheme="minorHAnsi" w:cs="Calibri"/>
          <w:color w:val="000000"/>
          <w:lang w:val="es-DO"/>
        </w:rPr>
        <w:t>18</w:t>
      </w:r>
      <w:r w:rsidR="00561972" w:rsidRPr="005C3607">
        <w:rPr>
          <w:rFonts w:asciiTheme="minorHAnsi" w:hAnsiTheme="minorHAnsi" w:cs="Calibri"/>
          <w:color w:val="000000"/>
          <w:lang w:val="es-DO"/>
        </w:rPr>
        <w:t xml:space="preserve">) </w:t>
      </w:r>
      <w:r w:rsidR="00920472">
        <w:rPr>
          <w:rFonts w:asciiTheme="minorHAnsi" w:hAnsiTheme="minorHAnsi" w:cs="Calibri"/>
          <w:color w:val="000000"/>
          <w:lang w:val="es-DO"/>
        </w:rPr>
        <w:t>meses</w:t>
      </w:r>
      <w:r w:rsidR="005619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contado</w:t>
      </w:r>
      <w:r w:rsidR="00920472">
        <w:rPr>
          <w:rFonts w:asciiTheme="minorHAnsi" w:hAnsiTheme="minorHAnsi" w:cs="Calibri"/>
          <w:color w:val="000000"/>
          <w:lang w:val="es-DO"/>
        </w:rPr>
        <w:t>s</w:t>
      </w:r>
      <w:r w:rsidR="009A4D86" w:rsidRPr="005C3607">
        <w:rPr>
          <w:rFonts w:asciiTheme="minorHAnsi" w:hAnsiTheme="minorHAnsi" w:cs="Calibri"/>
          <w:color w:val="000000"/>
          <w:lang w:val="es-DO"/>
        </w:rPr>
        <w:t xml:space="preserve"> a partir de la suscripción</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28E9131A" w14:textId="54D4EB61" w:rsidR="002D629D" w:rsidRDefault="002D629D" w:rsidP="00B64EB2">
      <w:pPr>
        <w:pStyle w:val="ListParagraph"/>
        <w:ind w:left="0" w:firstLine="360"/>
        <w:rPr>
          <w:rFonts w:ascii="Book Antiqua" w:hAnsi="Book Antiqua" w:cs="Calibri"/>
          <w:color w:val="000000"/>
          <w:sz w:val="22"/>
          <w:szCs w:val="22"/>
          <w:lang w:val="es-DO"/>
        </w:rPr>
      </w:pPr>
    </w:p>
    <w:p w14:paraId="0756BAAA" w14:textId="4B801076" w:rsidR="002D629D" w:rsidRDefault="002D629D" w:rsidP="00B64EB2">
      <w:pPr>
        <w:pStyle w:val="ListParagraph"/>
        <w:ind w:left="0" w:firstLine="360"/>
        <w:rPr>
          <w:rFonts w:ascii="Book Antiqua" w:hAnsi="Book Antiqua" w:cs="Calibri"/>
          <w:color w:val="000000"/>
          <w:sz w:val="22"/>
          <w:szCs w:val="22"/>
          <w:lang w:val="es-DO"/>
        </w:rPr>
      </w:pPr>
    </w:p>
    <w:p w14:paraId="0B045BDB" w14:textId="77777777" w:rsidR="002D629D" w:rsidRPr="000F2ADE" w:rsidRDefault="002D629D"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lastRenderedPageBreak/>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r w:rsidR="00B64EB2" w:rsidRPr="0092586B">
        <w:rPr>
          <w:rFonts w:asciiTheme="minorHAnsi" w:hAnsiTheme="minorHAnsi" w:cs="Calibri"/>
          <w:color w:val="000000"/>
          <w:lang w:val="es-DO"/>
        </w:rPr>
        <w:t xml:space="preserve">a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221D591B"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526AD7">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526AD7">
              <w:rPr>
                <w:b/>
                <w:bCs/>
                <w:noProof/>
              </w:rPr>
              <w:t>8</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3D6A69"/>
    <w:multiLevelType w:val="hybridMultilevel"/>
    <w:tmpl w:val="FA3C5DBE"/>
    <w:lvl w:ilvl="0" w:tplc="F2EA9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D9B730C"/>
    <w:multiLevelType w:val="hybridMultilevel"/>
    <w:tmpl w:val="D918F5FA"/>
    <w:lvl w:ilvl="0" w:tplc="7FB22F1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8806A5A"/>
    <w:multiLevelType w:val="hybridMultilevel"/>
    <w:tmpl w:val="2A766B92"/>
    <w:lvl w:ilvl="0" w:tplc="1C0A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BA35162"/>
    <w:multiLevelType w:val="hybridMultilevel"/>
    <w:tmpl w:val="D8F272E2"/>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6"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8"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E3199C"/>
    <w:multiLevelType w:val="hybridMultilevel"/>
    <w:tmpl w:val="36C0B0A0"/>
    <w:lvl w:ilvl="0" w:tplc="1C0A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9" w15:restartNumberingAfterBreak="0">
    <w:nsid w:val="75CC5661"/>
    <w:multiLevelType w:val="hybridMultilevel"/>
    <w:tmpl w:val="1A92C8E0"/>
    <w:lvl w:ilvl="0" w:tplc="1C0A0017">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4"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3"/>
  </w:num>
  <w:num w:numId="3">
    <w:abstractNumId w:val="17"/>
  </w:num>
  <w:num w:numId="4">
    <w:abstractNumId w:val="9"/>
  </w:num>
  <w:num w:numId="5">
    <w:abstractNumId w:val="33"/>
  </w:num>
  <w:num w:numId="6">
    <w:abstractNumId w:val="25"/>
  </w:num>
  <w:num w:numId="7">
    <w:abstractNumId w:val="3"/>
  </w:num>
  <w:num w:numId="8">
    <w:abstractNumId w:val="26"/>
  </w:num>
  <w:num w:numId="9">
    <w:abstractNumId w:val="4"/>
  </w:num>
  <w:num w:numId="10">
    <w:abstractNumId w:val="18"/>
  </w:num>
  <w:num w:numId="11">
    <w:abstractNumId w:val="20"/>
  </w:num>
  <w:num w:numId="12">
    <w:abstractNumId w:val="31"/>
  </w:num>
  <w:num w:numId="13">
    <w:abstractNumId w:val="19"/>
  </w:num>
  <w:num w:numId="14">
    <w:abstractNumId w:val="35"/>
  </w:num>
  <w:num w:numId="15">
    <w:abstractNumId w:val="32"/>
  </w:num>
  <w:num w:numId="16">
    <w:abstractNumId w:val="22"/>
  </w:num>
  <w:num w:numId="17">
    <w:abstractNumId w:val="27"/>
  </w:num>
  <w:num w:numId="18">
    <w:abstractNumId w:val="30"/>
  </w:num>
  <w:num w:numId="19">
    <w:abstractNumId w:val="7"/>
  </w:num>
  <w:num w:numId="20">
    <w:abstractNumId w:val="34"/>
  </w:num>
  <w:num w:numId="21">
    <w:abstractNumId w:val="2"/>
  </w:num>
  <w:num w:numId="22">
    <w:abstractNumId w:val="6"/>
  </w:num>
  <w:num w:numId="23">
    <w:abstractNumId w:val="0"/>
  </w:num>
  <w:num w:numId="24">
    <w:abstractNumId w:val="23"/>
  </w:num>
  <w:num w:numId="25">
    <w:abstractNumId w:val="11"/>
  </w:num>
  <w:num w:numId="26">
    <w:abstractNumId w:val="21"/>
  </w:num>
  <w:num w:numId="27">
    <w:abstractNumId w:val="16"/>
  </w:num>
  <w:num w:numId="28">
    <w:abstractNumId w:val="5"/>
  </w:num>
  <w:num w:numId="29">
    <w:abstractNumId w:val="14"/>
  </w:num>
  <w:num w:numId="30">
    <w:abstractNumId w:val="1"/>
  </w:num>
  <w:num w:numId="31">
    <w:abstractNumId w:val="10"/>
  </w:num>
  <w:num w:numId="32">
    <w:abstractNumId w:val="15"/>
  </w:num>
  <w:num w:numId="33">
    <w:abstractNumId w:val="8"/>
  </w:num>
  <w:num w:numId="34">
    <w:abstractNumId w:val="29"/>
  </w:num>
  <w:num w:numId="35">
    <w:abstractNumId w:val="24"/>
  </w:num>
  <w:num w:numId="3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26AD7"/>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3A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4846"/>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E7E"/>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paragraph" w:styleId="PlainText">
    <w:name w:val="Plain Text"/>
    <w:basedOn w:val="Normal"/>
    <w:link w:val="PlainTextChar"/>
    <w:uiPriority w:val="99"/>
    <w:unhideWhenUsed/>
    <w:rsid w:val="00A54E7E"/>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A54E7E"/>
    <w:rPr>
      <w:rFonts w:ascii="Consolas" w:eastAsia="Calibr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37FF6966DB449BAF497F68638A815E"/>
        <w:category>
          <w:name w:val="General"/>
          <w:gallery w:val="placeholder"/>
        </w:category>
        <w:types>
          <w:type w:val="bbPlcHdr"/>
        </w:types>
        <w:behaviors>
          <w:behavior w:val="content"/>
        </w:behaviors>
        <w:guid w:val="{D4892238-1563-4527-B148-89D4F74F040F}"/>
      </w:docPartPr>
      <w:docPartBody>
        <w:p w:rsidR="00C310B7" w:rsidRDefault="002436D9" w:rsidP="002436D9">
          <w:pPr>
            <w:pStyle w:val="F537FF6966DB449BAF497F68638A815E"/>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D9"/>
    <w:rsid w:val="002436D9"/>
    <w:rsid w:val="00C3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6D9"/>
    <w:rPr>
      <w:color w:val="808080"/>
    </w:rPr>
  </w:style>
  <w:style w:type="paragraph" w:customStyle="1" w:styleId="F537FF6966DB449BAF497F68638A815E">
    <w:name w:val="F537FF6966DB449BAF497F68638A815E"/>
    <w:rsid w:val="002436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2BC32-EB1E-478F-816C-6B5FDC340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2965</Words>
  <Characters>16907</Characters>
  <Application>Microsoft Office Word</Application>
  <DocSecurity>0</DocSecurity>
  <Lines>140</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Jochy Padilla</cp:lastModifiedBy>
  <cp:revision>4</cp:revision>
  <cp:lastPrinted>2015-05-19T16:27:00Z</cp:lastPrinted>
  <dcterms:created xsi:type="dcterms:W3CDTF">2021-09-23T12:39:00Z</dcterms:created>
  <dcterms:modified xsi:type="dcterms:W3CDTF">2021-11-16T18:24:00Z</dcterms:modified>
</cp:coreProperties>
</file>