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4C05CCE2"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r w:rsidR="000C06BE" w:rsidRPr="000C06BE">
        <w:rPr>
          <w:rFonts w:asciiTheme="majorHAnsi" w:hAnsiTheme="majorHAnsi" w:cstheme="majorHAnsi"/>
          <w:b/>
          <w:szCs w:val="28"/>
          <w:lang w:val="es-DO"/>
        </w:rPr>
        <w:t xml:space="preserve">Contratación </w:t>
      </w:r>
      <w:bookmarkStart w:id="0" w:name="_Hlk57971942"/>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Content>
          <w:r w:rsidR="002B5AAF" w:rsidRPr="002B5AAF">
            <w:rPr>
              <w:rFonts w:asciiTheme="majorHAnsi" w:hAnsiTheme="majorHAnsi" w:cstheme="majorHAnsi"/>
              <w:b/>
              <w:lang w:val="es-DO"/>
            </w:rPr>
            <w:t>Adquisición de Equipos de seguridad y servicios de red</w:t>
          </w:r>
          <w:r w:rsidR="002B5AAF" w:rsidRPr="002B5AAF">
            <w:rPr>
              <w:rFonts w:asciiTheme="majorHAnsi" w:hAnsiTheme="majorHAnsi" w:cstheme="majorHAnsi"/>
              <w:b/>
              <w:lang w:val="es-DO"/>
            </w:rPr>
            <w:t>.</w:t>
          </w:r>
          <w:r w:rsidR="002B5AAF" w:rsidRPr="002B5AAF">
            <w:rPr>
              <w:rFonts w:asciiTheme="majorHAnsi" w:hAnsiTheme="majorHAnsi" w:cstheme="majorHAnsi"/>
              <w:b/>
              <w:lang w:val="es-DO"/>
            </w:rPr>
            <w:t xml:space="preserve"> </w:t>
          </w:r>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proofErr w:type="gramStart"/>
      <w:r w:rsidR="00B64EB2">
        <w:rPr>
          <w:rFonts w:asciiTheme="minorHAnsi" w:hAnsiTheme="minorHAnsi" w:cstheme="minorHAnsi"/>
          <w:lang w:val="es-DO"/>
        </w:rPr>
        <w:t>mil veintiuno</w:t>
      </w:r>
      <w:proofErr w:type="gramEnd"/>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175FAC02"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0C06BE">
        <w:rPr>
          <w:rFonts w:asciiTheme="minorHAnsi" w:hAnsiTheme="minorHAnsi" w:cstheme="minorHAnsi"/>
          <w:b/>
          <w:bCs/>
        </w:rPr>
        <w:t>0</w:t>
      </w:r>
      <w:r w:rsidR="002B5AAF">
        <w:rPr>
          <w:rFonts w:asciiTheme="minorHAnsi" w:hAnsiTheme="minorHAnsi" w:cstheme="minorHAnsi"/>
          <w:b/>
          <w:bCs/>
        </w:rPr>
        <w:t>6</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proofErr w:type="gramStart"/>
      <w:r w:rsidRPr="005C3607">
        <w:rPr>
          <w:rFonts w:asciiTheme="minorHAnsi" w:hAnsiTheme="minorHAnsi" w:cs="Calibri"/>
          <w:color w:val="000000"/>
          <w:lang w:val="es-DO"/>
        </w:rPr>
        <w:t>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w:t>
      </w:r>
      <w:proofErr w:type="gramEnd"/>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Style w:val="TableGrid"/>
        <w:tblW w:w="9846" w:type="dxa"/>
        <w:tblInd w:w="-289" w:type="dxa"/>
        <w:tblLook w:val="04A0" w:firstRow="1" w:lastRow="0" w:firstColumn="1" w:lastColumn="0" w:noHBand="0" w:noVBand="1"/>
      </w:tblPr>
      <w:tblGrid>
        <w:gridCol w:w="941"/>
        <w:gridCol w:w="2286"/>
        <w:gridCol w:w="6619"/>
      </w:tblGrid>
      <w:tr w:rsidR="002B5AAF" w:rsidRPr="00BF7D16" w14:paraId="00E664AC" w14:textId="77777777" w:rsidTr="002B5AAF">
        <w:trPr>
          <w:trHeight w:val="171"/>
          <w:tblHeader/>
        </w:trPr>
        <w:tc>
          <w:tcPr>
            <w:tcW w:w="941" w:type="dxa"/>
            <w:vAlign w:val="center"/>
          </w:tcPr>
          <w:p w14:paraId="364A4F6B" w14:textId="77777777" w:rsidR="002B5AAF" w:rsidRPr="00BF7D16" w:rsidRDefault="002B5AAF" w:rsidP="001A3196">
            <w:pPr>
              <w:jc w:val="center"/>
              <w:rPr>
                <w:rFonts w:eastAsia="Calibri" w:cstheme="minorHAnsi"/>
                <w:b/>
                <w:sz w:val="18"/>
                <w:szCs w:val="18"/>
              </w:rPr>
            </w:pPr>
            <w:bookmarkStart w:id="5" w:name="_Hlk105760743"/>
            <w:r w:rsidRPr="00BF7D16">
              <w:rPr>
                <w:rFonts w:eastAsia="Calibri" w:cstheme="minorHAnsi"/>
                <w:b/>
                <w:sz w:val="18"/>
                <w:szCs w:val="18"/>
              </w:rPr>
              <w:t>Ítem</w:t>
            </w:r>
          </w:p>
        </w:tc>
        <w:tc>
          <w:tcPr>
            <w:tcW w:w="2286" w:type="dxa"/>
            <w:vAlign w:val="center"/>
          </w:tcPr>
          <w:p w14:paraId="706CEE9A" w14:textId="77777777" w:rsidR="002B5AAF" w:rsidRPr="00BF7D16" w:rsidRDefault="002B5AAF" w:rsidP="001A3196">
            <w:pPr>
              <w:jc w:val="center"/>
              <w:rPr>
                <w:rFonts w:eastAsia="Calibri" w:cstheme="minorHAnsi"/>
                <w:b/>
                <w:sz w:val="18"/>
                <w:szCs w:val="18"/>
              </w:rPr>
            </w:pPr>
            <w:r w:rsidRPr="00BF7D16">
              <w:rPr>
                <w:rFonts w:eastAsia="Calibri" w:cstheme="minorHAnsi"/>
                <w:b/>
                <w:sz w:val="18"/>
                <w:szCs w:val="18"/>
              </w:rPr>
              <w:t>Descripción</w:t>
            </w:r>
          </w:p>
        </w:tc>
        <w:tc>
          <w:tcPr>
            <w:tcW w:w="6619" w:type="dxa"/>
            <w:vAlign w:val="center"/>
          </w:tcPr>
          <w:p w14:paraId="1E0A7B04" w14:textId="77777777" w:rsidR="002B5AAF" w:rsidRPr="00BF7D16" w:rsidRDefault="002B5AAF" w:rsidP="001A3196">
            <w:pPr>
              <w:jc w:val="center"/>
              <w:rPr>
                <w:rFonts w:eastAsia="Calibri" w:cstheme="minorHAnsi"/>
                <w:b/>
                <w:sz w:val="18"/>
                <w:szCs w:val="18"/>
              </w:rPr>
            </w:pPr>
            <w:r w:rsidRPr="00BF7D16">
              <w:rPr>
                <w:rFonts w:eastAsia="Calibri" w:cstheme="minorHAnsi"/>
                <w:b/>
                <w:sz w:val="18"/>
                <w:szCs w:val="18"/>
              </w:rPr>
              <w:t>Requisitos Mínimos</w:t>
            </w:r>
          </w:p>
        </w:tc>
      </w:tr>
      <w:tr w:rsidR="002B5AAF" w:rsidRPr="00BF7D16" w14:paraId="49DC0826" w14:textId="77777777" w:rsidTr="002B5AAF">
        <w:trPr>
          <w:trHeight w:val="499"/>
        </w:trPr>
        <w:tc>
          <w:tcPr>
            <w:tcW w:w="941" w:type="dxa"/>
          </w:tcPr>
          <w:p w14:paraId="21B0BF47" w14:textId="77777777" w:rsidR="002B5AAF" w:rsidRPr="00BF7D16" w:rsidRDefault="002B5AAF" w:rsidP="001A3196">
            <w:pPr>
              <w:jc w:val="right"/>
              <w:rPr>
                <w:rFonts w:eastAsia="Calibri" w:cstheme="minorHAnsi"/>
                <w:sz w:val="18"/>
                <w:szCs w:val="18"/>
              </w:rPr>
            </w:pPr>
            <w:r w:rsidRPr="00BF7D16">
              <w:rPr>
                <w:rFonts w:cstheme="minorHAnsi"/>
                <w:color w:val="000000"/>
                <w:sz w:val="18"/>
                <w:szCs w:val="18"/>
                <w:lang w:val="es-US"/>
              </w:rPr>
              <w:t>1</w:t>
            </w:r>
          </w:p>
        </w:tc>
        <w:tc>
          <w:tcPr>
            <w:tcW w:w="2286" w:type="dxa"/>
          </w:tcPr>
          <w:p w14:paraId="649745CF" w14:textId="77777777" w:rsidR="002B5AAF" w:rsidRPr="00BF7D16" w:rsidRDefault="002B5AAF" w:rsidP="001A3196">
            <w:pPr>
              <w:jc w:val="both"/>
              <w:rPr>
                <w:rFonts w:eastAsia="Calibri" w:cstheme="minorHAnsi"/>
                <w:sz w:val="18"/>
                <w:szCs w:val="18"/>
              </w:rPr>
            </w:pPr>
            <w:r w:rsidRPr="00BF7D16">
              <w:rPr>
                <w:rFonts w:cstheme="minorHAnsi"/>
                <w:sz w:val="18"/>
                <w:szCs w:val="18"/>
              </w:rPr>
              <w:t>Interruptor de Red de 24 puerto</w:t>
            </w:r>
          </w:p>
        </w:tc>
        <w:tc>
          <w:tcPr>
            <w:tcW w:w="6619" w:type="dxa"/>
          </w:tcPr>
          <w:p w14:paraId="1A5E0864"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Interruptor de 24 puertos</w:t>
            </w:r>
          </w:p>
          <w:p w14:paraId="2474B747" w14:textId="77777777" w:rsidR="002B5AAF" w:rsidRPr="00BF7D16" w:rsidRDefault="002B5AAF" w:rsidP="002B5AAF">
            <w:pPr>
              <w:pStyle w:val="ListParagraph"/>
              <w:numPr>
                <w:ilvl w:val="0"/>
                <w:numId w:val="31"/>
              </w:numPr>
              <w:contextualSpacing w:val="0"/>
              <w:rPr>
                <w:rFonts w:cstheme="minorHAnsi"/>
                <w:color w:val="000000"/>
                <w:sz w:val="18"/>
                <w:szCs w:val="18"/>
                <w:lang w:val="en-US"/>
              </w:rPr>
            </w:pPr>
            <w:r w:rsidRPr="00BF7D16">
              <w:rPr>
                <w:rFonts w:cstheme="minorHAnsi"/>
                <w:color w:val="000000"/>
                <w:sz w:val="18"/>
                <w:szCs w:val="18"/>
                <w:lang w:val="en-US"/>
              </w:rPr>
              <w:t>Familia Cisco Switch Catalyst 9200</w:t>
            </w:r>
          </w:p>
          <w:p w14:paraId="2CA7D531"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POE+</w:t>
            </w:r>
          </w:p>
          <w:p w14:paraId="3DAA8DB2"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4x 10G </w:t>
            </w:r>
            <w:proofErr w:type="spellStart"/>
            <w:r w:rsidRPr="00BF7D16">
              <w:rPr>
                <w:rFonts w:cstheme="minorHAnsi"/>
                <w:color w:val="000000"/>
                <w:sz w:val="18"/>
                <w:szCs w:val="18"/>
              </w:rPr>
              <w:t>fixed</w:t>
            </w:r>
            <w:proofErr w:type="spellEnd"/>
            <w:r w:rsidRPr="00BF7D16">
              <w:rPr>
                <w:rFonts w:cstheme="minorHAnsi"/>
                <w:color w:val="000000"/>
                <w:sz w:val="18"/>
                <w:szCs w:val="18"/>
              </w:rPr>
              <w:t xml:space="preserve"> </w:t>
            </w:r>
            <w:proofErr w:type="spellStart"/>
            <w:r w:rsidRPr="00BF7D16">
              <w:rPr>
                <w:rFonts w:cstheme="minorHAnsi"/>
                <w:color w:val="000000"/>
                <w:sz w:val="18"/>
                <w:szCs w:val="18"/>
              </w:rPr>
              <w:t>uplinks</w:t>
            </w:r>
            <w:proofErr w:type="spellEnd"/>
          </w:p>
          <w:p w14:paraId="530AB7C9"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Alimentación eléctrica redundante</w:t>
            </w:r>
          </w:p>
          <w:p w14:paraId="5D3976DB"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Cables de alimentación eléctrica incluidos</w:t>
            </w:r>
          </w:p>
          <w:p w14:paraId="00918B6D"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kit de instalación en gabinete de servidores (rack)</w:t>
            </w:r>
          </w:p>
          <w:p w14:paraId="6A9E7C3C"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No. Parte C9200L-24P-4X-E</w:t>
            </w:r>
          </w:p>
          <w:p w14:paraId="5D10E702" w14:textId="77777777" w:rsidR="002B5AAF" w:rsidRPr="00BF7D16" w:rsidRDefault="002B5AAF" w:rsidP="002B5AAF">
            <w:pPr>
              <w:pStyle w:val="ListParagraph"/>
              <w:numPr>
                <w:ilvl w:val="0"/>
                <w:numId w:val="31"/>
              </w:numPr>
              <w:contextualSpacing w:val="0"/>
              <w:jc w:val="both"/>
              <w:rPr>
                <w:rFonts w:eastAsia="Calibri" w:cstheme="minorHAnsi"/>
                <w:sz w:val="18"/>
                <w:szCs w:val="18"/>
              </w:rPr>
            </w:pPr>
            <w:r w:rsidRPr="00BF7D16">
              <w:rPr>
                <w:rFonts w:cstheme="minorHAnsi"/>
                <w:color w:val="000000"/>
                <w:sz w:val="18"/>
                <w:szCs w:val="18"/>
              </w:rPr>
              <w:t>No requiere instalación</w:t>
            </w:r>
          </w:p>
        </w:tc>
      </w:tr>
      <w:tr w:rsidR="002B5AAF" w:rsidRPr="00BF7D16" w14:paraId="7B3833DF" w14:textId="77777777" w:rsidTr="002B5AAF">
        <w:trPr>
          <w:trHeight w:val="596"/>
        </w:trPr>
        <w:tc>
          <w:tcPr>
            <w:tcW w:w="941" w:type="dxa"/>
          </w:tcPr>
          <w:p w14:paraId="19316842" w14:textId="77777777" w:rsidR="002B5AAF" w:rsidRPr="00BF7D16" w:rsidRDefault="002B5AAF" w:rsidP="001A3196">
            <w:pPr>
              <w:jc w:val="right"/>
              <w:rPr>
                <w:rFonts w:eastAsia="Calibri" w:cstheme="minorHAnsi"/>
                <w:sz w:val="18"/>
                <w:szCs w:val="18"/>
              </w:rPr>
            </w:pPr>
            <w:r w:rsidRPr="00BF7D16">
              <w:rPr>
                <w:rFonts w:cstheme="minorHAnsi"/>
                <w:color w:val="000000"/>
                <w:sz w:val="18"/>
                <w:szCs w:val="18"/>
                <w:lang w:val="es-US"/>
              </w:rPr>
              <w:t>2</w:t>
            </w:r>
          </w:p>
        </w:tc>
        <w:tc>
          <w:tcPr>
            <w:tcW w:w="2286" w:type="dxa"/>
          </w:tcPr>
          <w:p w14:paraId="0E2CC701" w14:textId="77777777" w:rsidR="002B5AAF" w:rsidRPr="00BF7D16" w:rsidRDefault="002B5AAF" w:rsidP="001A3196">
            <w:pPr>
              <w:jc w:val="both"/>
              <w:rPr>
                <w:rFonts w:eastAsia="Calibri" w:cstheme="minorHAnsi"/>
                <w:sz w:val="18"/>
                <w:szCs w:val="18"/>
                <w:lang w:val="es-US"/>
              </w:rPr>
            </w:pPr>
            <w:r w:rsidRPr="00BF7D16">
              <w:rPr>
                <w:rFonts w:cstheme="minorHAnsi"/>
                <w:sz w:val="18"/>
                <w:szCs w:val="18"/>
              </w:rPr>
              <w:t>Cortafuegos (Firewall) de Red</w:t>
            </w:r>
          </w:p>
        </w:tc>
        <w:tc>
          <w:tcPr>
            <w:tcW w:w="6619" w:type="dxa"/>
          </w:tcPr>
          <w:p w14:paraId="66DB3B51"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Cortafuegos de Red </w:t>
            </w:r>
          </w:p>
          <w:p w14:paraId="037F76FC"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No. Parte # FG-101F-BDL-841-36 </w:t>
            </w:r>
          </w:p>
          <w:p w14:paraId="4C044BE2" w14:textId="77777777" w:rsidR="002B5AAF" w:rsidRPr="00BF7D16" w:rsidRDefault="002B5AAF" w:rsidP="002B5AAF">
            <w:pPr>
              <w:pStyle w:val="ListParagraph"/>
              <w:numPr>
                <w:ilvl w:val="0"/>
                <w:numId w:val="31"/>
              </w:numPr>
              <w:contextualSpacing w:val="0"/>
              <w:rPr>
                <w:rFonts w:cstheme="minorHAnsi"/>
                <w:color w:val="000000"/>
                <w:sz w:val="18"/>
                <w:szCs w:val="18"/>
              </w:rPr>
            </w:pPr>
            <w:proofErr w:type="spellStart"/>
            <w:r w:rsidRPr="00BF7D16">
              <w:rPr>
                <w:rFonts w:cstheme="minorHAnsi"/>
                <w:color w:val="000000"/>
                <w:sz w:val="18"/>
                <w:szCs w:val="18"/>
              </w:rPr>
              <w:t>Power</w:t>
            </w:r>
            <w:proofErr w:type="spellEnd"/>
            <w:r w:rsidRPr="00BF7D16">
              <w:rPr>
                <w:rFonts w:cstheme="minorHAnsi"/>
                <w:color w:val="000000"/>
                <w:sz w:val="18"/>
                <w:szCs w:val="18"/>
              </w:rPr>
              <w:t xml:space="preserve"> </w:t>
            </w:r>
            <w:proofErr w:type="spellStart"/>
            <w:r w:rsidRPr="00BF7D16">
              <w:rPr>
                <w:rFonts w:cstheme="minorHAnsi"/>
                <w:color w:val="000000"/>
                <w:sz w:val="18"/>
                <w:szCs w:val="18"/>
              </w:rPr>
              <w:t>Supply</w:t>
            </w:r>
            <w:proofErr w:type="spellEnd"/>
            <w:r w:rsidRPr="00BF7D16">
              <w:rPr>
                <w:rFonts w:cstheme="minorHAnsi"/>
                <w:color w:val="000000"/>
                <w:sz w:val="18"/>
                <w:szCs w:val="18"/>
              </w:rPr>
              <w:t xml:space="preserve"> redundante </w:t>
            </w:r>
          </w:p>
          <w:p w14:paraId="5BDFE8A1"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Kit de Instalación en Gabinete </w:t>
            </w:r>
          </w:p>
          <w:p w14:paraId="37EC45ED"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1x Puerto USB </w:t>
            </w:r>
          </w:p>
          <w:p w14:paraId="7E435BFA"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1x Puerto de consola </w:t>
            </w:r>
          </w:p>
          <w:p w14:paraId="792C7F93"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2x Puertos RJ45 administrativos / DMZ </w:t>
            </w:r>
          </w:p>
          <w:p w14:paraId="3B27310D"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2x Puertos red de área amplia RJ45 </w:t>
            </w:r>
          </w:p>
          <w:p w14:paraId="699182EE"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2x Puertos RJ45 de Alta disponibilidad </w:t>
            </w:r>
          </w:p>
          <w:p w14:paraId="0E58E20B"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12x Puertos de cobre Gigabit </w:t>
            </w:r>
          </w:p>
          <w:p w14:paraId="02E483F6"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2x Puertos SFP+ a 10Gb compatible con tecnología </w:t>
            </w:r>
            <w:proofErr w:type="spellStart"/>
            <w:r w:rsidRPr="00BF7D16">
              <w:rPr>
                <w:rFonts w:cstheme="minorHAnsi"/>
                <w:color w:val="000000"/>
                <w:sz w:val="18"/>
                <w:szCs w:val="18"/>
              </w:rPr>
              <w:t>FortiLink</w:t>
            </w:r>
            <w:proofErr w:type="spellEnd"/>
            <w:r w:rsidRPr="00BF7D16">
              <w:rPr>
                <w:rFonts w:cstheme="minorHAnsi"/>
                <w:color w:val="000000"/>
                <w:sz w:val="18"/>
                <w:szCs w:val="18"/>
              </w:rPr>
              <w:t xml:space="preserve"> </w:t>
            </w:r>
          </w:p>
          <w:p w14:paraId="13A71E2E"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4x Puertos SFP </w:t>
            </w:r>
          </w:p>
          <w:p w14:paraId="0D3D8BD4"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4x Puertos RJ45</w:t>
            </w:r>
          </w:p>
          <w:p w14:paraId="0D2A0894" w14:textId="77777777" w:rsidR="002B5AAF" w:rsidRPr="00BF7D16" w:rsidRDefault="002B5AAF" w:rsidP="002B5AAF">
            <w:pPr>
              <w:pStyle w:val="ListParagraph"/>
              <w:numPr>
                <w:ilvl w:val="0"/>
                <w:numId w:val="31"/>
              </w:numPr>
              <w:contextualSpacing w:val="0"/>
              <w:jc w:val="both"/>
              <w:rPr>
                <w:rFonts w:eastAsia="Calibri" w:cstheme="minorHAnsi"/>
                <w:sz w:val="18"/>
                <w:szCs w:val="18"/>
                <w:lang w:val="es-US"/>
              </w:rPr>
            </w:pPr>
            <w:r w:rsidRPr="00BF7D16">
              <w:rPr>
                <w:rFonts w:cstheme="minorHAnsi"/>
                <w:color w:val="000000"/>
                <w:sz w:val="18"/>
                <w:szCs w:val="18"/>
              </w:rPr>
              <w:t>No requiere instalación</w:t>
            </w:r>
          </w:p>
        </w:tc>
      </w:tr>
      <w:tr w:rsidR="002B5AAF" w:rsidRPr="00BF7D16" w14:paraId="3230620D" w14:textId="77777777" w:rsidTr="002B5AAF">
        <w:trPr>
          <w:trHeight w:val="596"/>
        </w:trPr>
        <w:tc>
          <w:tcPr>
            <w:tcW w:w="941" w:type="dxa"/>
          </w:tcPr>
          <w:p w14:paraId="362AEF4B" w14:textId="77777777" w:rsidR="002B5AAF" w:rsidRPr="00BF7D16" w:rsidDel="00D958C2" w:rsidRDefault="002B5AAF" w:rsidP="001A3196">
            <w:pPr>
              <w:jc w:val="right"/>
              <w:rPr>
                <w:rFonts w:cstheme="minorHAnsi"/>
                <w:sz w:val="18"/>
                <w:szCs w:val="18"/>
              </w:rPr>
            </w:pPr>
            <w:r w:rsidRPr="00BF7D16">
              <w:rPr>
                <w:rFonts w:cstheme="minorHAnsi"/>
                <w:color w:val="000000"/>
                <w:sz w:val="18"/>
                <w:szCs w:val="18"/>
                <w:lang w:val="es-US"/>
              </w:rPr>
              <w:t>3</w:t>
            </w:r>
          </w:p>
        </w:tc>
        <w:tc>
          <w:tcPr>
            <w:tcW w:w="2286" w:type="dxa"/>
          </w:tcPr>
          <w:p w14:paraId="28F3B6C5" w14:textId="77777777" w:rsidR="002B5AAF" w:rsidRPr="00BF7D16" w:rsidDel="00D958C2" w:rsidRDefault="002B5AAF" w:rsidP="001A3196">
            <w:pPr>
              <w:jc w:val="both"/>
              <w:rPr>
                <w:rFonts w:cstheme="minorHAnsi"/>
                <w:sz w:val="18"/>
                <w:szCs w:val="18"/>
              </w:rPr>
            </w:pPr>
            <w:r w:rsidRPr="00BF7D16">
              <w:rPr>
                <w:rFonts w:cstheme="minorHAnsi"/>
                <w:sz w:val="18"/>
                <w:szCs w:val="18"/>
              </w:rPr>
              <w:t xml:space="preserve">Punto de Acceso WIFI con funcionalidad de </w:t>
            </w:r>
            <w:proofErr w:type="spellStart"/>
            <w:r w:rsidRPr="00BF7D16">
              <w:rPr>
                <w:rFonts w:cstheme="minorHAnsi"/>
                <w:sz w:val="18"/>
                <w:szCs w:val="18"/>
              </w:rPr>
              <w:t>CortaFuegos</w:t>
            </w:r>
            <w:proofErr w:type="spellEnd"/>
          </w:p>
        </w:tc>
        <w:tc>
          <w:tcPr>
            <w:tcW w:w="6619" w:type="dxa"/>
          </w:tcPr>
          <w:p w14:paraId="28B75F36"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Punto de acceso universal wifi con protección avanzada </w:t>
            </w:r>
          </w:p>
          <w:p w14:paraId="1DCC6493"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No. Parte FAP-U433F-A </w:t>
            </w:r>
          </w:p>
          <w:p w14:paraId="453B1998"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Punto de acceso wifi compatible con la plataforma Fortinet con herramientas de administración y seguridad. </w:t>
            </w:r>
          </w:p>
          <w:p w14:paraId="0751ACEC"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Fuente de corriente eléctrica incluida. </w:t>
            </w:r>
          </w:p>
          <w:p w14:paraId="63637EE6" w14:textId="77777777" w:rsidR="002B5AAF" w:rsidRPr="00BF7D16" w:rsidDel="00D958C2" w:rsidRDefault="002B5AAF" w:rsidP="002B5AAF">
            <w:pPr>
              <w:pStyle w:val="ListParagraph"/>
              <w:numPr>
                <w:ilvl w:val="0"/>
                <w:numId w:val="31"/>
              </w:numPr>
              <w:contextualSpacing w:val="0"/>
              <w:jc w:val="both"/>
              <w:rPr>
                <w:rFonts w:cstheme="minorHAnsi"/>
                <w:sz w:val="18"/>
                <w:szCs w:val="18"/>
              </w:rPr>
            </w:pPr>
            <w:r w:rsidRPr="00BF7D16">
              <w:rPr>
                <w:rFonts w:cstheme="minorHAnsi"/>
                <w:color w:val="000000"/>
                <w:sz w:val="18"/>
                <w:szCs w:val="18"/>
              </w:rPr>
              <w:t>No requiere instalación</w:t>
            </w:r>
          </w:p>
        </w:tc>
      </w:tr>
      <w:bookmarkEnd w:id="5"/>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w:t>
      </w:r>
      <w:proofErr w:type="gramStart"/>
      <w:r w:rsidR="00F77C14" w:rsidRPr="005C3607">
        <w:rPr>
          <w:rFonts w:asciiTheme="minorHAnsi" w:hAnsiTheme="minorHAnsi" w:cs="Calibri"/>
          <w:color w:val="000000"/>
          <w:lang w:val="es-DO"/>
        </w:rPr>
        <w:t>Pesos</w:t>
      </w:r>
      <w:r w:rsidR="00436C72" w:rsidRPr="005C3607">
        <w:rPr>
          <w:rFonts w:asciiTheme="minorHAnsi" w:hAnsiTheme="minorHAnsi" w:cs="Calibri"/>
          <w:color w:val="000000"/>
          <w:lang w:val="es-DO"/>
        </w:rPr>
        <w:t xml:space="preserve"> Dominicanos</w:t>
      </w:r>
      <w:proofErr w:type="gramEnd"/>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ARTÍCULO 6:  TIEMPO DE VIGENCIA</w:t>
      </w:r>
      <w:r w:rsidR="00436C72" w:rsidRPr="002B5AAF">
        <w:rPr>
          <w:rFonts w:asciiTheme="minorHAnsi" w:hAnsiTheme="minorHAnsi" w:cs="Calibri"/>
          <w:color w:val="000000"/>
          <w:highlight w:val="yellow"/>
          <w:lang w:val="es-DO"/>
        </w:rPr>
        <w:t xml:space="preserve">: </w:t>
      </w:r>
      <w:r w:rsidR="009A4D86" w:rsidRPr="002B5AAF">
        <w:rPr>
          <w:rFonts w:asciiTheme="minorHAnsi" w:hAnsiTheme="minorHAnsi" w:cs="Calibri"/>
          <w:color w:val="000000"/>
          <w:highlight w:val="yellow"/>
          <w:lang w:val="es-DO"/>
        </w:rPr>
        <w:t xml:space="preserve">El presente Contrato de suministro </w:t>
      </w:r>
      <w:r w:rsidR="002B5AAF" w:rsidRPr="002B5AAF">
        <w:rPr>
          <w:rFonts w:asciiTheme="minorHAnsi" w:eastAsia="Calibri" w:hAnsiTheme="minorHAnsi" w:cstheme="majorHAnsi"/>
          <w:highlight w:val="yellow"/>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lastRenderedPageBreak/>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6"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6"/>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7" w:name="_Hlk60819380"/>
      <w:r w:rsidRPr="00A37913">
        <w:rPr>
          <w:rFonts w:asciiTheme="minorHAnsi" w:hAnsiTheme="minorHAnsi" w:cstheme="minorHAnsi"/>
          <w:b/>
          <w:bCs/>
          <w:color w:val="000000"/>
          <w:lang w:val="es-DO"/>
        </w:rPr>
        <w:t>LA ENTIDAD CONTRATANTE</w:t>
      </w:r>
      <w:bookmarkEnd w:id="7"/>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78E7943B"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0C06BE">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0C06BE">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5"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9"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390733">
    <w:abstractNumId w:val="24"/>
  </w:num>
  <w:num w:numId="2" w16cid:durableId="159271598">
    <w:abstractNumId w:val="11"/>
  </w:num>
  <w:num w:numId="3" w16cid:durableId="1590655930">
    <w:abstractNumId w:val="14"/>
  </w:num>
  <w:num w:numId="4" w16cid:durableId="1224214109">
    <w:abstractNumId w:val="9"/>
  </w:num>
  <w:num w:numId="5" w16cid:durableId="1281184302">
    <w:abstractNumId w:val="28"/>
  </w:num>
  <w:num w:numId="6" w16cid:durableId="1382511260">
    <w:abstractNumId w:val="21"/>
  </w:num>
  <w:num w:numId="7" w16cid:durableId="1482967157">
    <w:abstractNumId w:val="3"/>
  </w:num>
  <w:num w:numId="8" w16cid:durableId="2039621957">
    <w:abstractNumId w:val="22"/>
  </w:num>
  <w:num w:numId="9" w16cid:durableId="1111167253">
    <w:abstractNumId w:val="4"/>
  </w:num>
  <w:num w:numId="10" w16cid:durableId="1486125170">
    <w:abstractNumId w:val="15"/>
  </w:num>
  <w:num w:numId="11" w16cid:durableId="1008750368">
    <w:abstractNumId w:val="17"/>
  </w:num>
  <w:num w:numId="12" w16cid:durableId="1897356608">
    <w:abstractNumId w:val="26"/>
  </w:num>
  <w:num w:numId="13" w16cid:durableId="1519155801">
    <w:abstractNumId w:val="16"/>
  </w:num>
  <w:num w:numId="14" w16cid:durableId="225653131">
    <w:abstractNumId w:val="30"/>
  </w:num>
  <w:num w:numId="15" w16cid:durableId="165633535">
    <w:abstractNumId w:val="27"/>
  </w:num>
  <w:num w:numId="16" w16cid:durableId="665518098">
    <w:abstractNumId w:val="19"/>
  </w:num>
  <w:num w:numId="17" w16cid:durableId="1805850806">
    <w:abstractNumId w:val="23"/>
  </w:num>
  <w:num w:numId="18" w16cid:durableId="1500345064">
    <w:abstractNumId w:val="25"/>
  </w:num>
  <w:num w:numId="19" w16cid:durableId="973171394">
    <w:abstractNumId w:val="7"/>
  </w:num>
  <w:num w:numId="20" w16cid:durableId="1998993614">
    <w:abstractNumId w:val="29"/>
  </w:num>
  <w:num w:numId="21" w16cid:durableId="81605146">
    <w:abstractNumId w:val="2"/>
  </w:num>
  <w:num w:numId="22" w16cid:durableId="708606827">
    <w:abstractNumId w:val="6"/>
  </w:num>
  <w:num w:numId="23" w16cid:durableId="1942489958">
    <w:abstractNumId w:val="0"/>
  </w:num>
  <w:num w:numId="24" w16cid:durableId="2069304691">
    <w:abstractNumId w:val="20"/>
  </w:num>
  <w:num w:numId="25" w16cid:durableId="1980919110">
    <w:abstractNumId w:val="10"/>
  </w:num>
  <w:num w:numId="26" w16cid:durableId="300619498">
    <w:abstractNumId w:val="18"/>
  </w:num>
  <w:num w:numId="27" w16cid:durableId="690491077">
    <w:abstractNumId w:val="13"/>
  </w:num>
  <w:num w:numId="28" w16cid:durableId="1527251984">
    <w:abstractNumId w:val="5"/>
  </w:num>
  <w:num w:numId="29" w16cid:durableId="1281912750">
    <w:abstractNumId w:val="12"/>
  </w:num>
  <w:num w:numId="30" w16cid:durableId="916673776">
    <w:abstractNumId w:val="1"/>
  </w:num>
  <w:num w:numId="31" w16cid:durableId="198616208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000000"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35"/>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435"/>
    <w:rPr>
      <w:color w:val="808080"/>
    </w:rPr>
  </w:style>
  <w:style w:type="paragraph" w:customStyle="1" w:styleId="68E0F445F36F4451B29C550EFC9B26A4">
    <w:name w:val="68E0F445F36F4451B29C550EFC9B26A4"/>
    <w:rsid w:val="009E3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68E0-81EA-4C86-8C1D-497A668B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2478</Words>
  <Characters>14212</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Elizabeth Nunez</cp:lastModifiedBy>
  <cp:revision>3</cp:revision>
  <cp:lastPrinted>2015-05-19T16:27:00Z</cp:lastPrinted>
  <dcterms:created xsi:type="dcterms:W3CDTF">2022-03-22T19:53:00Z</dcterms:created>
  <dcterms:modified xsi:type="dcterms:W3CDTF">2022-07-22T12:10:00Z</dcterms:modified>
</cp:coreProperties>
</file>