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7D5B04AF"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r w:rsidR="00B60350" w:rsidRPr="00B60350">
        <w:rPr>
          <w:rFonts w:asciiTheme="majorHAnsi" w:hAnsiTheme="majorHAnsi" w:cstheme="majorHAnsi"/>
          <w:b/>
          <w:szCs w:val="28"/>
          <w:lang w:val="es-DO"/>
        </w:rPr>
        <w:t>Adquisición de Aplicación para la Automati</w:t>
      </w:r>
      <w:r w:rsidR="00B60350">
        <w:rPr>
          <w:rFonts w:asciiTheme="majorHAnsi" w:hAnsiTheme="majorHAnsi" w:cstheme="majorHAnsi"/>
          <w:b/>
          <w:szCs w:val="28"/>
          <w:lang w:val="es-DO"/>
        </w:rPr>
        <w:t>zación de los Pase a Producción</w:t>
      </w:r>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73E2EE69"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w:t>
      </w:r>
      <w:bookmarkStart w:id="5" w:name="_GoBack"/>
      <w:bookmarkEnd w:id="5"/>
      <w:r w:rsidR="00F3638A" w:rsidRPr="00245A7C">
        <w:rPr>
          <w:rFonts w:asciiTheme="minorHAnsi" w:hAnsiTheme="minorHAnsi" w:cstheme="minorHAnsi"/>
          <w:b/>
          <w:bCs/>
        </w:rPr>
        <w:t>00</w:t>
      </w:r>
      <w:r w:rsidR="00367701" w:rsidRPr="00245A7C">
        <w:rPr>
          <w:rFonts w:asciiTheme="minorHAnsi" w:hAnsiTheme="minorHAnsi" w:cstheme="minorHAnsi"/>
          <w:b/>
          <w:bCs/>
        </w:rPr>
        <w:t>1</w:t>
      </w:r>
      <w:r w:rsidR="00245A7C">
        <w:rPr>
          <w:rFonts w:asciiTheme="minorHAnsi" w:hAnsiTheme="minorHAnsi" w:cstheme="minorHAnsi"/>
          <w:b/>
          <w:bCs/>
        </w:rPr>
        <w:t>8</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10500" w:type="dxa"/>
        <w:tblInd w:w="-489" w:type="dxa"/>
        <w:tblCellMar>
          <w:left w:w="70" w:type="dxa"/>
          <w:right w:w="70" w:type="dxa"/>
        </w:tblCellMar>
        <w:tblLook w:val="04A0" w:firstRow="1" w:lastRow="0" w:firstColumn="1" w:lastColumn="0" w:noHBand="0" w:noVBand="1"/>
      </w:tblPr>
      <w:tblGrid>
        <w:gridCol w:w="608"/>
        <w:gridCol w:w="1058"/>
        <w:gridCol w:w="961"/>
        <w:gridCol w:w="2622"/>
        <w:gridCol w:w="5251"/>
      </w:tblGrid>
      <w:tr w:rsidR="00E36C19" w14:paraId="2BD9AEA0" w14:textId="77777777" w:rsidTr="00367701">
        <w:trPr>
          <w:trHeight w:val="825"/>
          <w:tblHeader/>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46DEA" w14:textId="77777777" w:rsidR="00E36C19" w:rsidRDefault="00E36C19" w:rsidP="00367701">
            <w:pPr>
              <w:jc w:val="center"/>
              <w:rPr>
                <w:rFonts w:ascii="Century Gothic" w:hAnsi="Century Gothic" w:cs="Calibri"/>
                <w:b/>
                <w:bCs/>
                <w:color w:val="000000"/>
                <w:sz w:val="18"/>
                <w:szCs w:val="18"/>
                <w:lang w:eastAsia="es-DO"/>
              </w:rPr>
            </w:pPr>
            <w:bookmarkStart w:id="6" w:name="RANGE!B3"/>
            <w:r>
              <w:rPr>
                <w:rFonts w:ascii="Century Gothic" w:hAnsi="Century Gothic" w:cs="Calibri"/>
                <w:b/>
                <w:bCs/>
                <w:color w:val="000000"/>
                <w:sz w:val="18"/>
                <w:szCs w:val="18"/>
              </w:rPr>
              <w:t>Ítems</w:t>
            </w:r>
            <w:bookmarkEnd w:id="6"/>
          </w:p>
        </w:tc>
        <w:tc>
          <w:tcPr>
            <w:tcW w:w="1058" w:type="dxa"/>
            <w:tcBorders>
              <w:top w:val="single" w:sz="8" w:space="0" w:color="auto"/>
              <w:left w:val="nil"/>
              <w:bottom w:val="single" w:sz="8" w:space="0" w:color="auto"/>
              <w:right w:val="single" w:sz="8" w:space="0" w:color="auto"/>
            </w:tcBorders>
            <w:shd w:val="clear" w:color="auto" w:fill="auto"/>
            <w:vAlign w:val="center"/>
            <w:hideMark/>
          </w:tcPr>
          <w:p w14:paraId="2519704B" w14:textId="7BBAF74B"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Actividad Comercial</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14:paraId="5BF5AF42" w14:textId="77777777"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Cantidad</w:t>
            </w:r>
          </w:p>
        </w:tc>
        <w:tc>
          <w:tcPr>
            <w:tcW w:w="2622" w:type="dxa"/>
            <w:tcBorders>
              <w:top w:val="single" w:sz="8" w:space="0" w:color="auto"/>
              <w:left w:val="nil"/>
              <w:bottom w:val="single" w:sz="8" w:space="0" w:color="auto"/>
              <w:right w:val="single" w:sz="8" w:space="0" w:color="auto"/>
            </w:tcBorders>
            <w:shd w:val="clear" w:color="auto" w:fill="auto"/>
            <w:noWrap/>
            <w:vAlign w:val="center"/>
            <w:hideMark/>
          </w:tcPr>
          <w:p w14:paraId="7B5151C9" w14:textId="4EADED5C"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Descripción</w:t>
            </w:r>
          </w:p>
        </w:tc>
        <w:tc>
          <w:tcPr>
            <w:tcW w:w="5251" w:type="dxa"/>
            <w:tcBorders>
              <w:top w:val="single" w:sz="8" w:space="0" w:color="auto"/>
              <w:left w:val="nil"/>
              <w:bottom w:val="single" w:sz="8" w:space="0" w:color="auto"/>
              <w:right w:val="single" w:sz="8" w:space="0" w:color="auto"/>
            </w:tcBorders>
            <w:shd w:val="clear" w:color="auto" w:fill="auto"/>
            <w:vAlign w:val="center"/>
            <w:hideMark/>
          </w:tcPr>
          <w:p w14:paraId="79BB91EA" w14:textId="77777777"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Requisitos Mínimos Imprescindible</w:t>
            </w:r>
          </w:p>
        </w:tc>
      </w:tr>
      <w:tr w:rsidR="00B60350" w14:paraId="4F0C107C" w14:textId="77777777" w:rsidTr="00367701">
        <w:trPr>
          <w:trHeight w:val="358"/>
          <w:tblHeader/>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A0558A" w14:textId="5D156C5A" w:rsidR="00B60350" w:rsidRDefault="00B60350" w:rsidP="00B60350">
            <w:pPr>
              <w:jc w:val="center"/>
              <w:rPr>
                <w:rFonts w:ascii="Century Gothic" w:hAnsi="Century Gothic" w:cs="Calibri"/>
                <w:b/>
                <w:bCs/>
                <w:color w:val="000000"/>
                <w:sz w:val="18"/>
                <w:szCs w:val="18"/>
              </w:rPr>
            </w:pPr>
            <w:r>
              <w:rPr>
                <w:rFonts w:ascii="Century Gothic" w:hAnsi="Century Gothic" w:cs="Calibri"/>
                <w:b/>
                <w:bCs/>
                <w:color w:val="000000"/>
                <w:sz w:val="18"/>
                <w:szCs w:val="18"/>
              </w:rPr>
              <w:t>1</w:t>
            </w:r>
          </w:p>
        </w:tc>
        <w:tc>
          <w:tcPr>
            <w:tcW w:w="1058" w:type="dxa"/>
            <w:tcBorders>
              <w:top w:val="single" w:sz="8" w:space="0" w:color="auto"/>
              <w:left w:val="nil"/>
              <w:bottom w:val="single" w:sz="8" w:space="0" w:color="auto"/>
              <w:right w:val="single" w:sz="8" w:space="0" w:color="auto"/>
            </w:tcBorders>
            <w:shd w:val="clear" w:color="auto" w:fill="auto"/>
            <w:vAlign w:val="center"/>
          </w:tcPr>
          <w:p w14:paraId="6EFE5FFA" w14:textId="4395135F" w:rsidR="00B60350" w:rsidRDefault="00B60350" w:rsidP="00B60350">
            <w:pPr>
              <w:jc w:val="center"/>
              <w:rPr>
                <w:rFonts w:ascii="Century Gothic" w:hAnsi="Century Gothic" w:cs="Calibri"/>
                <w:b/>
                <w:bCs/>
                <w:color w:val="000000"/>
                <w:sz w:val="18"/>
                <w:szCs w:val="18"/>
              </w:rPr>
            </w:pPr>
            <w:r>
              <w:rPr>
                <w:rFonts w:asciiTheme="majorHAnsi" w:eastAsia="Times New Roman" w:hAnsiTheme="majorHAnsi" w:cs="Arial"/>
                <w:color w:val="000000"/>
                <w:sz w:val="18"/>
                <w:szCs w:val="18"/>
              </w:rPr>
              <w:t>43231512</w:t>
            </w:r>
          </w:p>
        </w:tc>
        <w:tc>
          <w:tcPr>
            <w:tcW w:w="961" w:type="dxa"/>
            <w:tcBorders>
              <w:top w:val="single" w:sz="8" w:space="0" w:color="auto"/>
              <w:left w:val="nil"/>
              <w:bottom w:val="single" w:sz="8" w:space="0" w:color="auto"/>
              <w:right w:val="single" w:sz="8" w:space="0" w:color="auto"/>
            </w:tcBorders>
            <w:shd w:val="clear" w:color="auto" w:fill="auto"/>
            <w:noWrap/>
            <w:vAlign w:val="center"/>
          </w:tcPr>
          <w:p w14:paraId="2FB4F9A6" w14:textId="4389B44A" w:rsidR="00B60350" w:rsidRDefault="00B60350" w:rsidP="00B60350">
            <w:pPr>
              <w:jc w:val="center"/>
              <w:rPr>
                <w:rFonts w:ascii="Century Gothic" w:hAnsi="Century Gothic" w:cs="Calibri"/>
                <w:b/>
                <w:bCs/>
                <w:color w:val="000000"/>
                <w:sz w:val="18"/>
                <w:szCs w:val="18"/>
              </w:rPr>
            </w:pPr>
            <w:r>
              <w:rPr>
                <w:rFonts w:ascii="Century Gothic" w:hAnsi="Century Gothic" w:cs="Calibri"/>
                <w:b/>
                <w:bCs/>
                <w:color w:val="000000"/>
                <w:sz w:val="18"/>
                <w:szCs w:val="18"/>
              </w:rPr>
              <w:t>1</w:t>
            </w:r>
          </w:p>
        </w:tc>
        <w:tc>
          <w:tcPr>
            <w:tcW w:w="2622" w:type="dxa"/>
            <w:tcBorders>
              <w:top w:val="single" w:sz="8" w:space="0" w:color="auto"/>
              <w:left w:val="nil"/>
              <w:bottom w:val="single" w:sz="8" w:space="0" w:color="auto"/>
              <w:right w:val="single" w:sz="8" w:space="0" w:color="auto"/>
            </w:tcBorders>
            <w:shd w:val="clear" w:color="auto" w:fill="auto"/>
            <w:noWrap/>
            <w:vAlign w:val="center"/>
          </w:tcPr>
          <w:p w14:paraId="4CDA2AA6" w14:textId="1A519FD8" w:rsidR="00B60350" w:rsidRDefault="00B60350" w:rsidP="00B60350">
            <w:pPr>
              <w:rPr>
                <w:rFonts w:ascii="Century Gothic" w:hAnsi="Century Gothic" w:cs="Calibri"/>
                <w:b/>
                <w:bCs/>
                <w:color w:val="000000"/>
                <w:sz w:val="18"/>
                <w:szCs w:val="18"/>
              </w:rPr>
            </w:pPr>
            <w:r>
              <w:rPr>
                <w:rFonts w:asciiTheme="majorHAnsi" w:hAnsiTheme="majorHAnsi" w:cstheme="majorHAnsi"/>
                <w:lang w:val="es-ES"/>
              </w:rPr>
              <w:t>Adquisición de Aplicación para la Automatización de los Pase a Producción</w:t>
            </w:r>
          </w:p>
        </w:tc>
        <w:tc>
          <w:tcPr>
            <w:tcW w:w="5251" w:type="dxa"/>
            <w:tcBorders>
              <w:top w:val="single" w:sz="8" w:space="0" w:color="auto"/>
              <w:left w:val="nil"/>
              <w:bottom w:val="single" w:sz="8" w:space="0" w:color="auto"/>
              <w:right w:val="single" w:sz="8" w:space="0" w:color="auto"/>
            </w:tcBorders>
            <w:shd w:val="clear" w:color="auto" w:fill="auto"/>
            <w:vAlign w:val="center"/>
          </w:tcPr>
          <w:p w14:paraId="6E9B1164"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Configuración de tareas tipo drag and drop</w:t>
            </w:r>
          </w:p>
          <w:p w14:paraId="4DF72569"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Triggers y condiciones basadas en eventos</w:t>
            </w:r>
          </w:p>
          <w:p w14:paraId="1D62FF32"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Conectividad con bases de datos</w:t>
            </w:r>
          </w:p>
          <w:p w14:paraId="79E4D0AA"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Registro de eventos y ejecución de tareas</w:t>
            </w:r>
          </w:p>
          <w:p w14:paraId="5A26101A"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Control y recuperación de condiciones erróneas</w:t>
            </w:r>
          </w:p>
          <w:p w14:paraId="0144A983"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Manipulación de archivos</w:t>
            </w:r>
          </w:p>
          <w:p w14:paraId="4227C7ED"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Automatización de FTP/SFTP</w:t>
            </w:r>
          </w:p>
          <w:p w14:paraId="0B2DB7ED"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Ejecución en varias máquinas</w:t>
            </w:r>
          </w:p>
          <w:p w14:paraId="73F5C275"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Automatización de hojas de cálculo</w:t>
            </w:r>
          </w:p>
          <w:p w14:paraId="3631E7A8"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Emulación de terminales</w:t>
            </w:r>
          </w:p>
          <w:p w14:paraId="3390FA43"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Servicios web</w:t>
            </w:r>
          </w:p>
          <w:p w14:paraId="5BDDBB33"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Combinar la creación de automatización con la planificación de trabajos empresariales</w:t>
            </w:r>
          </w:p>
          <w:p w14:paraId="64636BB7"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Reducir el tiempo de desarrollo de tareas en comparación con las secuencias de comandos tradicionales</w:t>
            </w:r>
          </w:p>
          <w:p w14:paraId="552843AA"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Centralizar la administración de trabajos con informes, alertas y notificaciones</w:t>
            </w:r>
          </w:p>
          <w:p w14:paraId="04B8B816"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Permitir que el personal de IT / negocios cree automatización sin asistencia de los desarrolladores</w:t>
            </w:r>
          </w:p>
          <w:p w14:paraId="3D7AE9FA"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E7D8CE1">
              <w:rPr>
                <w:rFonts w:ascii="Calibri Light" w:hAnsi="Calibri Light" w:cs="Calibri Light"/>
                <w:sz w:val="18"/>
                <w:szCs w:val="18"/>
              </w:rPr>
              <w:t>Licenciamiento para 5 agentes (bots) sin límite de tareas o ejecuciones.</w:t>
            </w:r>
          </w:p>
          <w:p w14:paraId="2F6EE853"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Servidor centralizado de gestión de ejecuciones, auditoria.</w:t>
            </w:r>
          </w:p>
          <w:p w14:paraId="4CD37D16"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Developer tool que permita el diseño y prueba de automatizaciones</w:t>
            </w:r>
          </w:p>
          <w:p w14:paraId="68729306"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Equivalencia de agentes (bots) y licencias para uso en ambientes de pruebas o no productivo.</w:t>
            </w:r>
          </w:p>
          <w:p w14:paraId="0E7F4BD0"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Licencia Perpetua.</w:t>
            </w:r>
          </w:p>
          <w:p w14:paraId="448C1CFD" w14:textId="77777777" w:rsidR="00B60350" w:rsidRPr="009D450B" w:rsidRDefault="00B60350" w:rsidP="00B60350">
            <w:pPr>
              <w:pStyle w:val="ListParagraph"/>
              <w:numPr>
                <w:ilvl w:val="0"/>
                <w:numId w:val="32"/>
              </w:numPr>
              <w:spacing w:after="160" w:line="252" w:lineRule="auto"/>
              <w:rPr>
                <w:rFonts w:ascii="Calibri Light" w:hAnsi="Calibri Light" w:cs="Calibri Light"/>
                <w:sz w:val="18"/>
                <w:szCs w:val="18"/>
              </w:rPr>
            </w:pPr>
            <w:r w:rsidRPr="009D450B">
              <w:rPr>
                <w:rFonts w:ascii="Calibri Light" w:hAnsi="Calibri Light" w:cs="Calibri Light"/>
                <w:sz w:val="18"/>
                <w:szCs w:val="18"/>
              </w:rPr>
              <w:t>1 año de soporte y Mantenimiento</w:t>
            </w:r>
          </w:p>
          <w:p w14:paraId="68A2F7DF" w14:textId="4E40F91D" w:rsidR="00B60350" w:rsidRDefault="00B60350" w:rsidP="00B60350">
            <w:pPr>
              <w:rPr>
                <w:rFonts w:ascii="Century Gothic" w:hAnsi="Century Gothic" w:cs="Calibri"/>
                <w:b/>
                <w:bCs/>
                <w:color w:val="000000"/>
                <w:sz w:val="18"/>
                <w:szCs w:val="18"/>
              </w:rPr>
            </w:pPr>
            <w:r w:rsidRPr="009D450B">
              <w:rPr>
                <w:rFonts w:ascii="Calibri Light" w:hAnsi="Calibri Light" w:cs="Calibri Light"/>
                <w:sz w:val="18"/>
                <w:szCs w:val="18"/>
              </w:rPr>
              <w:t>24 horas de consultoría con experto en la herramienta para ser distribuidos entre entrenamientos y apoyo en la implementación</w:t>
            </w:r>
          </w:p>
        </w:tc>
      </w:tr>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2B5AAF">
        <w:rPr>
          <w:rFonts w:asciiTheme="minorHAnsi" w:hAnsiTheme="minorHAnsi" w:cs="Calibri"/>
          <w:color w:val="000000"/>
          <w:highlight w:val="yellow"/>
          <w:lang w:val="es-DO"/>
        </w:rPr>
        <w:t xml:space="preserve">: </w:t>
      </w:r>
      <w:r w:rsidR="009A4D86" w:rsidRPr="002B5AAF">
        <w:rPr>
          <w:rFonts w:asciiTheme="minorHAnsi" w:hAnsiTheme="minorHAnsi" w:cs="Calibri"/>
          <w:color w:val="000000"/>
          <w:highlight w:val="yellow"/>
          <w:lang w:val="es-DO"/>
        </w:rPr>
        <w:t xml:space="preserve">El presente Contrato de suministro </w:t>
      </w:r>
      <w:r w:rsidR="002B5AAF" w:rsidRPr="002B5AAF">
        <w:rPr>
          <w:rFonts w:asciiTheme="minorHAnsi" w:eastAsia="Calibri" w:hAnsiTheme="minorHAnsi" w:cstheme="majorHAnsi"/>
          <w:highlight w:val="yellow"/>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w:t>
      </w:r>
      <w:r w:rsidR="006D4BEA" w:rsidRPr="005C3607">
        <w:rPr>
          <w:rFonts w:asciiTheme="minorHAnsi" w:hAnsiTheme="minorHAnsi" w:cs="Calibri"/>
          <w:color w:val="000000"/>
          <w:lang w:val="es-DO"/>
        </w:rPr>
        <w:lastRenderedPageBreak/>
        <w:t xml:space="preserve">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7"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7"/>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8" w:name="_Hlk60819380"/>
      <w:r w:rsidRPr="00A37913">
        <w:rPr>
          <w:rFonts w:asciiTheme="minorHAnsi" w:hAnsiTheme="minorHAnsi" w:cstheme="minorHAnsi"/>
          <w:b/>
          <w:bCs/>
          <w:color w:val="000000"/>
          <w:lang w:val="es-DO"/>
        </w:rPr>
        <w:t>LA ENTIDAD CONTRATANTE</w:t>
      </w:r>
      <w:bookmarkEnd w:id="8"/>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78D634D5"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45A7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45A7C">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45A7C"/>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350"/>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94BAB"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94BAB"/>
    <w:rsid w:val="00402D87"/>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D87"/>
    <w:rPr>
      <w:color w:val="808080"/>
    </w:rPr>
  </w:style>
  <w:style w:type="paragraph" w:customStyle="1" w:styleId="68E0F445F36F4451B29C550EFC9B26A4">
    <w:name w:val="68E0F445F36F4451B29C550EFC9B26A4"/>
    <w:rsid w:val="009E3435"/>
  </w:style>
  <w:style w:type="paragraph" w:customStyle="1" w:styleId="B1BBCCF0194E4EBBA09C458A1261926B">
    <w:name w:val="B1BBCCF0194E4EBBA09C458A1261926B"/>
    <w:rsid w:val="00394BAB"/>
  </w:style>
  <w:style w:type="paragraph" w:customStyle="1" w:styleId="A17B1F15F1D14E2C8A926EFE1D2BF896">
    <w:name w:val="A17B1F15F1D14E2C8A926EFE1D2BF896"/>
    <w:rsid w:val="00402D87"/>
  </w:style>
  <w:style w:type="paragraph" w:customStyle="1" w:styleId="011ED91ABEF141F6BB42D10DB4A1ADC2">
    <w:name w:val="011ED91ABEF141F6BB42D10DB4A1ADC2"/>
    <w:rsid w:val="0040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86BE-66FD-4EC2-9EB3-0832B496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2612</Words>
  <Characters>14366</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7</cp:revision>
  <cp:lastPrinted>2015-05-19T16:27:00Z</cp:lastPrinted>
  <dcterms:created xsi:type="dcterms:W3CDTF">2022-03-22T19:53:00Z</dcterms:created>
  <dcterms:modified xsi:type="dcterms:W3CDTF">2022-11-14T19:47:00Z</dcterms:modified>
</cp:coreProperties>
</file>