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72BB6596"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4F475F" w:rsidRPr="004F475F">
                <w:rPr>
                  <w:rFonts w:asciiTheme="minorHAnsi" w:hAnsiTheme="minorHAnsi" w:cs="Calibri"/>
                  <w:b/>
                  <w:color w:val="000000"/>
                  <w:lang w:val="es-DO"/>
                </w:rPr>
                <w:t>Adquisición y renovación licencias informáticas</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30BD4558"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 xml:space="preserve">mil </w:t>
      </w:r>
      <w:r w:rsidR="00825CF3">
        <w:rPr>
          <w:rFonts w:asciiTheme="minorHAnsi" w:hAnsiTheme="minorHAnsi" w:cstheme="minorHAnsi"/>
          <w:lang w:val="es-DO"/>
        </w:rPr>
        <w:t>veintitrés</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w:t>
      </w:r>
      <w:r w:rsidR="00825CF3">
        <w:rPr>
          <w:rFonts w:asciiTheme="minorHAnsi" w:hAnsiTheme="minorHAnsi" w:cstheme="minorHAnsi"/>
          <w:lang w:val="es-DO"/>
        </w:rPr>
        <w:t>3</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19B37CB3"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825CF3" w:rsidRPr="005C3607">
        <w:rPr>
          <w:rFonts w:asciiTheme="minorHAnsi" w:hAnsiTheme="minorHAnsi" w:cstheme="minorHAnsi"/>
        </w:rPr>
        <w:t>veint</w:t>
      </w:r>
      <w:r w:rsidR="00825CF3">
        <w:rPr>
          <w:rFonts w:asciiTheme="minorHAnsi" w:hAnsiTheme="minorHAnsi" w:cstheme="minorHAnsi"/>
        </w:rPr>
        <w:t>itrés</w:t>
      </w:r>
      <w:r w:rsidRPr="005C3607">
        <w:rPr>
          <w:rFonts w:asciiTheme="minorHAnsi" w:hAnsiTheme="minorHAnsi" w:cstheme="minorHAnsi"/>
        </w:rPr>
        <w:t xml:space="preserve"> (202</w:t>
      </w:r>
      <w:r w:rsidR="00825CF3">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4F475F" w:rsidRPr="004F475F">
                <w:rPr>
                  <w:rFonts w:asciiTheme="majorHAnsi" w:eastAsia="Calibri" w:hAnsiTheme="majorHAnsi" w:cstheme="majorHAnsi"/>
                  <w:b/>
                  <w:bCs/>
                  <w:lang w:val="es-ES"/>
                </w:rPr>
                <w:t>Adquisición y renovación licencias informáticas</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0C0EA292"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 xml:space="preserve">del año dos mil </w:t>
      </w:r>
      <w:r w:rsidR="00825CF3" w:rsidRPr="005C3607">
        <w:rPr>
          <w:rFonts w:asciiTheme="minorHAnsi" w:hAnsiTheme="minorHAnsi" w:cstheme="minorHAnsi"/>
        </w:rPr>
        <w:t>veint</w:t>
      </w:r>
      <w:r w:rsidR="00825CF3">
        <w:rPr>
          <w:rFonts w:asciiTheme="minorHAnsi" w:hAnsiTheme="minorHAnsi" w:cstheme="minorHAnsi"/>
        </w:rPr>
        <w:t>itrés</w:t>
      </w:r>
      <w:r w:rsidRPr="005C3607">
        <w:rPr>
          <w:rFonts w:asciiTheme="minorHAnsi" w:hAnsiTheme="minorHAnsi" w:cstheme="minorHAnsi"/>
        </w:rPr>
        <w:t xml:space="preserve"> (202</w:t>
      </w:r>
      <w:r w:rsidR="00825CF3">
        <w:rPr>
          <w:rFonts w:asciiTheme="minorHAnsi" w:hAnsiTheme="minorHAnsi" w:cstheme="minorHAnsi"/>
        </w:rPr>
        <w:t>3</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03A3E">
        <w:rPr>
          <w:rFonts w:asciiTheme="minorHAnsi" w:hAnsiTheme="minorHAnsi" w:cstheme="minorHAnsi"/>
          <w:b/>
          <w:bCs/>
        </w:rPr>
        <w:t>3</w:t>
      </w:r>
      <w:r w:rsidR="00F3638A" w:rsidRPr="00F3638A">
        <w:rPr>
          <w:rFonts w:asciiTheme="minorHAnsi" w:hAnsiTheme="minorHAnsi" w:cstheme="minorHAnsi"/>
          <w:b/>
          <w:bCs/>
        </w:rPr>
        <w:t>-00</w:t>
      </w:r>
      <w:r w:rsidR="00FE1C44">
        <w:rPr>
          <w:rFonts w:asciiTheme="minorHAnsi" w:hAnsiTheme="minorHAnsi" w:cstheme="minorHAnsi"/>
          <w:b/>
          <w:bCs/>
        </w:rPr>
        <w:t>0</w:t>
      </w:r>
      <w:r w:rsidR="004F475F">
        <w:rPr>
          <w:rFonts w:asciiTheme="minorHAnsi" w:hAnsiTheme="minorHAnsi" w:cstheme="minorHAnsi"/>
          <w:b/>
          <w:bCs/>
        </w:rPr>
        <w:t>9</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3CFADA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825CF3" w:rsidRPr="005C3607">
        <w:rPr>
          <w:rFonts w:asciiTheme="minorHAnsi" w:hAnsiTheme="minorHAnsi" w:cstheme="minorHAnsi"/>
          <w:color w:val="000000" w:themeColor="text1"/>
        </w:rPr>
        <w:t>veint</w:t>
      </w:r>
      <w:r w:rsidR="00825CF3">
        <w:rPr>
          <w:rFonts w:asciiTheme="minorHAnsi" w:hAnsiTheme="minorHAnsi" w:cstheme="minorHAnsi"/>
          <w:color w:val="000000" w:themeColor="text1"/>
        </w:rPr>
        <w:t>idós</w:t>
      </w:r>
      <w:r w:rsidR="00A84424" w:rsidRPr="005C3607">
        <w:rPr>
          <w:rFonts w:asciiTheme="minorHAnsi" w:hAnsiTheme="minorHAnsi" w:cstheme="minorHAnsi"/>
          <w:color w:val="000000" w:themeColor="text1"/>
        </w:rPr>
        <w:t xml:space="preserve"> (202</w:t>
      </w:r>
      <w:r w:rsidR="00825CF3">
        <w:rPr>
          <w:rFonts w:asciiTheme="minorHAnsi" w:hAnsiTheme="minorHAnsi" w:cstheme="minorHAnsi"/>
          <w:color w:val="000000" w:themeColor="text1"/>
        </w:rPr>
        <w:t>2</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02D38C54"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825CF3">
        <w:rPr>
          <w:rFonts w:asciiTheme="minorHAnsi" w:hAnsiTheme="minorHAnsi" w:cstheme="minorHAnsi"/>
        </w:rPr>
        <w:t>2</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825CF3" w:rsidRPr="005C3607">
        <w:rPr>
          <w:rFonts w:asciiTheme="minorHAnsi" w:hAnsiTheme="minorHAnsi" w:cstheme="minorHAnsi"/>
        </w:rPr>
        <w:t>veint</w:t>
      </w:r>
      <w:r w:rsidR="00825CF3">
        <w:rPr>
          <w:rFonts w:asciiTheme="minorHAnsi" w:hAnsiTheme="minorHAnsi" w:cstheme="minorHAnsi"/>
        </w:rPr>
        <w:t>itrés</w:t>
      </w:r>
      <w:r w:rsidRPr="005C3607">
        <w:rPr>
          <w:rFonts w:asciiTheme="minorHAnsi" w:hAnsiTheme="minorHAnsi" w:cstheme="minorHAnsi"/>
        </w:rPr>
        <w:t xml:space="preserve"> (202</w:t>
      </w:r>
      <w:r w:rsidR="00825CF3">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4F475F" w:rsidRPr="004F475F">
                <w:rPr>
                  <w:rFonts w:asciiTheme="majorHAnsi" w:eastAsia="Calibri" w:hAnsiTheme="majorHAnsi" w:cstheme="majorHAnsi"/>
                  <w:b/>
                  <w:bCs/>
                  <w:lang w:val="es-ES"/>
                </w:rPr>
                <w:t>Adquisición y renovación licencias informáticas</w:t>
              </w:r>
            </w:sdtContent>
          </w:sdt>
        </w:sdtContent>
      </w:sdt>
      <w:r w:rsidR="0023350B" w:rsidRPr="005C1C89">
        <w:rPr>
          <w:rFonts w:asciiTheme="majorHAnsi" w:eastAsia="Calibri" w:hAnsiTheme="majorHAnsi" w:cs="Arial"/>
        </w:rPr>
        <w:tab/>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487B012B"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825CF3" w:rsidRPr="009F2D26">
        <w:rPr>
          <w:rFonts w:asciiTheme="minorHAnsi" w:hAnsiTheme="minorHAnsi" w:cstheme="minorHAnsi"/>
        </w:rPr>
        <w:t>veinti</w:t>
      </w:r>
      <w:r w:rsidR="00825CF3">
        <w:rPr>
          <w:rFonts w:asciiTheme="minorHAnsi" w:hAnsiTheme="minorHAnsi" w:cstheme="minorHAnsi"/>
        </w:rPr>
        <w:t>trés</w:t>
      </w:r>
      <w:r w:rsidRPr="009F2D26">
        <w:rPr>
          <w:rFonts w:asciiTheme="minorHAnsi" w:hAnsiTheme="minorHAnsi" w:cstheme="minorHAnsi"/>
        </w:rPr>
        <w:t xml:space="preserve"> (202</w:t>
      </w:r>
      <w:r w:rsidR="00825CF3">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W w:w="10496" w:type="dxa"/>
        <w:tblInd w:w="-1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0"/>
        <w:gridCol w:w="1080"/>
        <w:gridCol w:w="1080"/>
        <w:gridCol w:w="1701"/>
        <w:gridCol w:w="4295"/>
        <w:gridCol w:w="1710"/>
      </w:tblGrid>
      <w:tr w:rsidR="003E2D5F" w:rsidRPr="00C0048B" w14:paraId="33E0F6B5" w14:textId="77777777" w:rsidTr="002314B4">
        <w:trPr>
          <w:trHeight w:val="300"/>
        </w:trPr>
        <w:tc>
          <w:tcPr>
            <w:tcW w:w="630" w:type="dxa"/>
            <w:tcBorders>
              <w:top w:val="single" w:sz="8" w:space="0" w:color="auto"/>
              <w:left w:val="single" w:sz="8" w:space="0" w:color="auto"/>
              <w:bottom w:val="single" w:sz="8" w:space="0" w:color="auto"/>
              <w:right w:val="single" w:sz="8" w:space="0" w:color="auto"/>
            </w:tcBorders>
          </w:tcPr>
          <w:p w14:paraId="310F4E49" w14:textId="77777777" w:rsidR="003E2D5F" w:rsidRPr="00C0048B" w:rsidRDefault="003E2D5F" w:rsidP="002314B4">
            <w:pPr>
              <w:rPr>
                <w:rFonts w:ascii="Century Gothic" w:hAnsi="Century Gothic"/>
                <w:b/>
                <w:bCs/>
                <w:sz w:val="18"/>
                <w:szCs w:val="18"/>
              </w:rPr>
            </w:pPr>
            <w:r w:rsidRPr="00C0048B">
              <w:rPr>
                <w:rFonts w:ascii="Century Gothic" w:eastAsia="Calibri" w:hAnsi="Century Gothic" w:cs="Calibri"/>
                <w:b/>
                <w:bCs/>
                <w:sz w:val="18"/>
                <w:szCs w:val="18"/>
              </w:rPr>
              <w:t>ítem</w:t>
            </w:r>
            <w:r w:rsidRPr="00C0048B">
              <w:rPr>
                <w:rFonts w:ascii="Century Gothic" w:eastAsia="Calibri" w:hAnsi="Century Gothic" w:cs="Calibri"/>
                <w:b/>
                <w:bCs/>
                <w:sz w:val="18"/>
                <w:szCs w:val="18"/>
                <w:lang w:val="en-US"/>
              </w:rPr>
              <w:t> </w:t>
            </w:r>
            <w:r w:rsidRPr="00C0048B">
              <w:rPr>
                <w:rFonts w:ascii="Century Gothic" w:eastAsia="Calibri" w:hAnsi="Century Gothic" w:cs="Calibri"/>
                <w:b/>
                <w:bCs/>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tcPr>
          <w:p w14:paraId="333B0323" w14:textId="77777777" w:rsidR="003E2D5F" w:rsidRPr="00C0048B" w:rsidRDefault="003E2D5F" w:rsidP="002314B4">
            <w:pPr>
              <w:rPr>
                <w:rFonts w:ascii="Century Gothic" w:hAnsi="Century Gothic"/>
                <w:b/>
                <w:bCs/>
                <w:sz w:val="18"/>
                <w:szCs w:val="18"/>
              </w:rPr>
            </w:pPr>
            <w:r w:rsidRPr="00C0048B">
              <w:rPr>
                <w:rFonts w:ascii="Century Gothic" w:eastAsia="Calibri" w:hAnsi="Century Gothic" w:cs="Calibri"/>
                <w:b/>
                <w:bCs/>
                <w:sz w:val="18"/>
                <w:szCs w:val="18"/>
              </w:rPr>
              <w:t>Rubro</w:t>
            </w:r>
            <w:r w:rsidRPr="00C0048B">
              <w:rPr>
                <w:rFonts w:ascii="Century Gothic" w:eastAsia="Calibri" w:hAnsi="Century Gothic" w:cs="Calibri"/>
                <w:b/>
                <w:bCs/>
                <w:sz w:val="18"/>
                <w:szCs w:val="18"/>
                <w:lang w:val="en-US"/>
              </w:rPr>
              <w:t> </w:t>
            </w:r>
            <w:r w:rsidRPr="00C0048B">
              <w:rPr>
                <w:rFonts w:ascii="Century Gothic" w:eastAsia="Calibri" w:hAnsi="Century Gothic" w:cs="Calibri"/>
                <w:b/>
                <w:bCs/>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tcPr>
          <w:p w14:paraId="79F42D87" w14:textId="77777777" w:rsidR="003E2D5F" w:rsidRPr="00C0048B" w:rsidRDefault="003E2D5F" w:rsidP="002314B4">
            <w:pPr>
              <w:rPr>
                <w:rFonts w:ascii="Century Gothic" w:hAnsi="Century Gothic"/>
                <w:b/>
                <w:bCs/>
                <w:sz w:val="18"/>
                <w:szCs w:val="18"/>
              </w:rPr>
            </w:pPr>
            <w:r w:rsidRPr="00C0048B">
              <w:rPr>
                <w:rFonts w:ascii="Century Gothic" w:eastAsia="Calibri" w:hAnsi="Century Gothic" w:cs="Calibri"/>
                <w:b/>
                <w:bCs/>
                <w:sz w:val="18"/>
                <w:szCs w:val="18"/>
              </w:rPr>
              <w:t>Cantidad</w:t>
            </w:r>
            <w:r w:rsidRPr="00C0048B">
              <w:rPr>
                <w:rFonts w:ascii="Century Gothic" w:eastAsia="Calibri" w:hAnsi="Century Gothic" w:cs="Calibri"/>
                <w:b/>
                <w:bCs/>
                <w:sz w:val="18"/>
                <w:szCs w:val="18"/>
                <w:lang w:val="en-US"/>
              </w:rPr>
              <w:t> </w:t>
            </w:r>
            <w:r w:rsidRPr="00C0048B">
              <w:rPr>
                <w:rFonts w:ascii="Century Gothic" w:eastAsia="Calibri" w:hAnsi="Century Gothic" w:cs="Calibri"/>
                <w:b/>
                <w:bCs/>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tcPr>
          <w:p w14:paraId="27838FC0" w14:textId="77777777" w:rsidR="003E2D5F" w:rsidRPr="00C0048B" w:rsidRDefault="003E2D5F" w:rsidP="002314B4">
            <w:pPr>
              <w:rPr>
                <w:rFonts w:ascii="Century Gothic" w:hAnsi="Century Gothic"/>
                <w:b/>
                <w:bCs/>
                <w:sz w:val="18"/>
                <w:szCs w:val="18"/>
              </w:rPr>
            </w:pPr>
            <w:r w:rsidRPr="00C0048B">
              <w:rPr>
                <w:rFonts w:ascii="Century Gothic" w:eastAsia="Calibri" w:hAnsi="Century Gothic" w:cs="Calibri"/>
                <w:b/>
                <w:bCs/>
                <w:sz w:val="18"/>
                <w:szCs w:val="18"/>
              </w:rPr>
              <w:t>Descripción</w:t>
            </w:r>
            <w:r w:rsidRPr="00C0048B">
              <w:rPr>
                <w:rFonts w:ascii="Century Gothic" w:eastAsia="Calibri" w:hAnsi="Century Gothic" w:cs="Calibri"/>
                <w:b/>
                <w:bCs/>
                <w:sz w:val="18"/>
                <w:szCs w:val="18"/>
                <w:lang w:val="en-US"/>
              </w:rPr>
              <w:t> </w:t>
            </w:r>
            <w:r w:rsidRPr="00C0048B">
              <w:rPr>
                <w:rFonts w:ascii="Century Gothic" w:eastAsia="Calibri" w:hAnsi="Century Gothic" w:cs="Calibri"/>
                <w:b/>
                <w:bCs/>
                <w:sz w:val="18"/>
                <w:szCs w:val="18"/>
              </w:rPr>
              <w:t xml:space="preserve"> </w:t>
            </w:r>
          </w:p>
        </w:tc>
        <w:tc>
          <w:tcPr>
            <w:tcW w:w="4295" w:type="dxa"/>
            <w:tcBorders>
              <w:top w:val="single" w:sz="8" w:space="0" w:color="auto"/>
              <w:left w:val="single" w:sz="8" w:space="0" w:color="auto"/>
              <w:bottom w:val="single" w:sz="8" w:space="0" w:color="auto"/>
              <w:right w:val="single" w:sz="8" w:space="0" w:color="auto"/>
            </w:tcBorders>
          </w:tcPr>
          <w:p w14:paraId="7D2E8E64" w14:textId="77777777" w:rsidR="003E2D5F" w:rsidRPr="00C0048B" w:rsidRDefault="003E2D5F" w:rsidP="002314B4">
            <w:pPr>
              <w:rPr>
                <w:rFonts w:ascii="Century Gothic" w:hAnsi="Century Gothic"/>
                <w:b/>
                <w:bCs/>
                <w:sz w:val="18"/>
                <w:szCs w:val="18"/>
              </w:rPr>
            </w:pPr>
            <w:r w:rsidRPr="00C0048B">
              <w:rPr>
                <w:rFonts w:ascii="Century Gothic" w:eastAsia="Calibri" w:hAnsi="Century Gothic" w:cs="Calibri"/>
                <w:b/>
                <w:bCs/>
                <w:sz w:val="18"/>
                <w:szCs w:val="18"/>
              </w:rPr>
              <w:t>Especificación técnica</w:t>
            </w:r>
            <w:r w:rsidRPr="00C0048B">
              <w:rPr>
                <w:rFonts w:ascii="Century Gothic" w:eastAsia="Calibri" w:hAnsi="Century Gothic" w:cs="Calibri"/>
                <w:b/>
                <w:bCs/>
                <w:sz w:val="18"/>
                <w:szCs w:val="18"/>
                <w:lang w:val="en-US"/>
              </w:rPr>
              <w:t> </w:t>
            </w:r>
            <w:r w:rsidRPr="00C0048B">
              <w:rPr>
                <w:rFonts w:ascii="Century Gothic" w:eastAsia="Calibri" w:hAnsi="Century Gothic" w:cs="Calibri"/>
                <w:b/>
                <w:bCs/>
                <w:sz w:val="18"/>
                <w:szCs w:val="18"/>
              </w:rPr>
              <w:t xml:space="preserve"> </w:t>
            </w:r>
          </w:p>
        </w:tc>
        <w:tc>
          <w:tcPr>
            <w:tcW w:w="1710" w:type="dxa"/>
            <w:tcBorders>
              <w:top w:val="single" w:sz="8" w:space="0" w:color="auto"/>
              <w:left w:val="single" w:sz="8" w:space="0" w:color="auto"/>
              <w:bottom w:val="single" w:sz="8" w:space="0" w:color="auto"/>
              <w:right w:val="single" w:sz="8" w:space="0" w:color="auto"/>
            </w:tcBorders>
          </w:tcPr>
          <w:p w14:paraId="7E1983C4" w14:textId="77777777" w:rsidR="003E2D5F" w:rsidRPr="00C0048B" w:rsidRDefault="003E2D5F" w:rsidP="002314B4">
            <w:pPr>
              <w:rPr>
                <w:rFonts w:ascii="Century Gothic" w:hAnsi="Century Gothic"/>
                <w:b/>
                <w:bCs/>
                <w:sz w:val="18"/>
                <w:szCs w:val="18"/>
              </w:rPr>
            </w:pPr>
            <w:r w:rsidRPr="00C0048B">
              <w:rPr>
                <w:rFonts w:ascii="Century Gothic" w:eastAsia="Calibri" w:hAnsi="Century Gothic" w:cs="Calibri"/>
                <w:b/>
                <w:bCs/>
                <w:sz w:val="18"/>
                <w:szCs w:val="18"/>
                <w:lang w:val="en-US"/>
              </w:rPr>
              <w:t>Soporte</w:t>
            </w:r>
            <w:r w:rsidRPr="00C0048B">
              <w:rPr>
                <w:rFonts w:ascii="Century Gothic" w:eastAsia="Calibri" w:hAnsi="Century Gothic" w:cs="Calibri"/>
                <w:b/>
                <w:bCs/>
                <w:sz w:val="18"/>
                <w:szCs w:val="18"/>
              </w:rPr>
              <w:t xml:space="preserve"> </w:t>
            </w:r>
          </w:p>
        </w:tc>
      </w:tr>
      <w:tr w:rsidR="003E2D5F" w:rsidRPr="00C0048B" w14:paraId="0D42F695" w14:textId="77777777" w:rsidTr="002314B4">
        <w:trPr>
          <w:trHeight w:val="300"/>
        </w:trPr>
        <w:tc>
          <w:tcPr>
            <w:tcW w:w="630" w:type="dxa"/>
            <w:tcBorders>
              <w:top w:val="single" w:sz="8" w:space="0" w:color="auto"/>
              <w:left w:val="single" w:sz="8" w:space="0" w:color="auto"/>
              <w:bottom w:val="single" w:sz="8" w:space="0" w:color="auto"/>
              <w:right w:val="single" w:sz="8" w:space="0" w:color="auto"/>
            </w:tcBorders>
          </w:tcPr>
          <w:p w14:paraId="58654502" w14:textId="77777777" w:rsidR="003E2D5F" w:rsidRPr="00C0048B" w:rsidRDefault="003E2D5F" w:rsidP="002314B4">
            <w:pPr>
              <w:rPr>
                <w:rFonts w:ascii="Century Gothic" w:hAnsi="Century Gothic"/>
                <w:sz w:val="18"/>
                <w:szCs w:val="18"/>
              </w:rPr>
            </w:pPr>
            <w:r w:rsidRPr="00C0048B">
              <w:rPr>
                <w:rFonts w:ascii="Century Gothic" w:eastAsia="Calibri" w:hAnsi="Century Gothic" w:cs="Calibri"/>
                <w:sz w:val="18"/>
                <w:szCs w:val="18"/>
              </w:rPr>
              <w:t>1</w:t>
            </w:r>
            <w:r w:rsidRPr="00C0048B">
              <w:rPr>
                <w:rFonts w:ascii="Century Gothic" w:eastAsia="Calibri" w:hAnsi="Century Gothic" w:cs="Calibri"/>
                <w:sz w:val="18"/>
                <w:szCs w:val="18"/>
                <w:lang w:val="en-US"/>
              </w:rPr>
              <w:t> </w:t>
            </w:r>
            <w:r w:rsidRPr="00C0048B">
              <w:rPr>
                <w:rFonts w:ascii="Century Gothic" w:eastAsia="Calibri" w:hAnsi="Century Gothic" w:cs="Calibri"/>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tcPr>
          <w:p w14:paraId="401553F7" w14:textId="77777777" w:rsidR="003E2D5F" w:rsidRPr="00C0048B" w:rsidRDefault="003E2D5F" w:rsidP="002314B4">
            <w:pPr>
              <w:jc w:val="center"/>
              <w:rPr>
                <w:rFonts w:ascii="Century Gothic" w:hAnsi="Century Gothic"/>
                <w:sz w:val="18"/>
                <w:szCs w:val="18"/>
              </w:rPr>
            </w:pPr>
            <w:r>
              <w:rPr>
                <w:rFonts w:ascii="Century Gothic" w:eastAsia="Calibri" w:hAnsi="Century Gothic" w:cs="Calibri"/>
                <w:sz w:val="18"/>
                <w:szCs w:val="18"/>
                <w:lang w:val="en-US"/>
              </w:rPr>
              <w:t>81112501</w:t>
            </w:r>
          </w:p>
          <w:p w14:paraId="0D42F656" w14:textId="77777777" w:rsidR="003E2D5F" w:rsidRPr="00C0048B" w:rsidRDefault="003E2D5F" w:rsidP="002314B4">
            <w:pPr>
              <w:rPr>
                <w:rFonts w:ascii="Century Gothic" w:hAnsi="Century Gothic"/>
                <w:sz w:val="18"/>
                <w:szCs w:val="18"/>
              </w:rPr>
            </w:pPr>
            <w:r w:rsidRPr="00C0048B">
              <w:rPr>
                <w:rFonts w:ascii="Century Gothic" w:hAnsi="Century Gothic"/>
                <w:sz w:val="18"/>
                <w:szCs w:val="18"/>
                <w:lang w:val="en-US"/>
              </w:rPr>
              <w:t xml:space="preserve"> </w:t>
            </w:r>
          </w:p>
        </w:tc>
        <w:tc>
          <w:tcPr>
            <w:tcW w:w="1080" w:type="dxa"/>
            <w:tcBorders>
              <w:top w:val="single" w:sz="8" w:space="0" w:color="auto"/>
              <w:left w:val="single" w:sz="8" w:space="0" w:color="auto"/>
              <w:bottom w:val="single" w:sz="8" w:space="0" w:color="auto"/>
              <w:right w:val="single" w:sz="8" w:space="0" w:color="auto"/>
            </w:tcBorders>
          </w:tcPr>
          <w:p w14:paraId="5CF0FF48" w14:textId="77777777" w:rsidR="003E2D5F" w:rsidRPr="00C0048B" w:rsidRDefault="003E2D5F" w:rsidP="002314B4">
            <w:pPr>
              <w:rPr>
                <w:rFonts w:ascii="Century Gothic" w:hAnsi="Century Gothic"/>
                <w:sz w:val="18"/>
                <w:szCs w:val="18"/>
              </w:rPr>
            </w:pPr>
            <w:r w:rsidRPr="00C0048B">
              <w:rPr>
                <w:rFonts w:ascii="Century Gothic" w:eastAsia="Calibri" w:hAnsi="Century Gothic" w:cs="Calibri"/>
                <w:sz w:val="18"/>
                <w:szCs w:val="18"/>
                <w:lang w:val="en-US"/>
              </w:rPr>
              <w:t>1</w:t>
            </w:r>
            <w:r w:rsidRPr="00C0048B">
              <w:rPr>
                <w:rFonts w:ascii="Century Gothic" w:eastAsia="Calibri" w:hAnsi="Century Gothic" w:cs="Calibri"/>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tcPr>
          <w:p w14:paraId="247E5648" w14:textId="77777777" w:rsidR="003E2D5F" w:rsidRPr="00C0048B" w:rsidRDefault="003E2D5F" w:rsidP="002314B4">
            <w:pPr>
              <w:rPr>
                <w:rFonts w:ascii="Century Gothic" w:hAnsi="Century Gothic" w:cstheme="majorBidi"/>
                <w:sz w:val="18"/>
                <w:szCs w:val="18"/>
              </w:rPr>
            </w:pPr>
            <w:bookmarkStart w:id="5" w:name="_Hlk137805259"/>
            <w:r w:rsidRPr="00C0048B">
              <w:rPr>
                <w:rFonts w:ascii="Century Gothic" w:hAnsi="Century Gothic" w:cstheme="majorBidi"/>
                <w:sz w:val="18"/>
                <w:szCs w:val="18"/>
              </w:rPr>
              <w:t>Licencia perpetua de Cisco DNA Advantage para conmutación</w:t>
            </w:r>
            <w:bookmarkEnd w:id="5"/>
            <w:r w:rsidRPr="00C0048B">
              <w:rPr>
                <w:rFonts w:ascii="Century Gothic" w:hAnsi="Century Gothic" w:cstheme="majorBidi"/>
                <w:sz w:val="18"/>
                <w:szCs w:val="18"/>
              </w:rPr>
              <w:t xml:space="preserve">. </w:t>
            </w:r>
          </w:p>
          <w:p w14:paraId="1DC0DBEE" w14:textId="77777777" w:rsidR="003E2D5F" w:rsidRPr="00C0048B" w:rsidRDefault="003E2D5F" w:rsidP="002314B4">
            <w:pPr>
              <w:rPr>
                <w:rFonts w:ascii="Century Gothic" w:hAnsi="Century Gothic" w:cstheme="majorBidi"/>
                <w:sz w:val="18"/>
                <w:szCs w:val="18"/>
              </w:rPr>
            </w:pPr>
            <w:r w:rsidRPr="00C0048B">
              <w:rPr>
                <w:rFonts w:ascii="Century Gothic" w:hAnsi="Century Gothic" w:cstheme="majorBidi"/>
                <w:sz w:val="18"/>
                <w:szCs w:val="18"/>
              </w:rPr>
              <w:t xml:space="preserve"> </w:t>
            </w:r>
          </w:p>
          <w:p w14:paraId="0AC1EFCA" w14:textId="77777777" w:rsidR="003E2D5F" w:rsidRPr="00C0048B" w:rsidRDefault="003E2D5F" w:rsidP="002314B4">
            <w:pPr>
              <w:rPr>
                <w:rFonts w:ascii="Century Gothic" w:hAnsi="Century Gothic" w:cstheme="majorBidi"/>
                <w:sz w:val="18"/>
                <w:szCs w:val="18"/>
              </w:rPr>
            </w:pPr>
            <w:r w:rsidRPr="00C0048B">
              <w:rPr>
                <w:rFonts w:ascii="Century Gothic" w:hAnsi="Century Gothic" w:cstheme="majorBidi"/>
                <w:sz w:val="18"/>
                <w:szCs w:val="18"/>
              </w:rPr>
              <w:t xml:space="preserve"> </w:t>
            </w:r>
          </w:p>
        </w:tc>
        <w:tc>
          <w:tcPr>
            <w:tcW w:w="4295" w:type="dxa"/>
            <w:tcBorders>
              <w:top w:val="single" w:sz="8" w:space="0" w:color="auto"/>
              <w:left w:val="single" w:sz="8" w:space="0" w:color="auto"/>
              <w:bottom w:val="single" w:sz="8" w:space="0" w:color="auto"/>
              <w:right w:val="single" w:sz="8" w:space="0" w:color="auto"/>
            </w:tcBorders>
          </w:tcPr>
          <w:p w14:paraId="4D18BFF2"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Opciones de gestión: Manual y  interfaz de usuario web. </w:t>
            </w:r>
          </w:p>
          <w:p w14:paraId="49887D28"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Implementaciones de red optimizadas (puerta de enlace del sistema de nombres de dominio de multidifusión [mDNS]). </w:t>
            </w:r>
          </w:p>
          <w:p w14:paraId="143643FF"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Automatización avanzada (contenedores, Python, Cisco IOS ® Embedded Event. Manager e infraestructura de red autónoma). </w:t>
            </w:r>
          </w:p>
          <w:p w14:paraId="00DB46A9"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Telemetría y visibilidad avanzadas (Flexible NetFlow y Wireshark). </w:t>
            </w:r>
          </w:p>
          <w:p w14:paraId="77327DA2"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Visibilidad y telemetría optimizadas (SPAN remoto encapsulado [ERSPAN], visibilidad y control de aplicaciones de Cisco y NBAR2). </w:t>
            </w:r>
          </w:p>
          <w:p w14:paraId="670AB18D"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Alta disponibilidad y resiliencia (parches). </w:t>
            </w:r>
          </w:p>
          <w:p w14:paraId="204A63CA"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Seguridad avanzada (análisis de tráfico encriptado). </w:t>
            </w:r>
          </w:p>
          <w:p w14:paraId="60E2EFA2"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Automatización del lanzamiento de la red desde el día 0 (aplicación plug-and-play de la red de Cisco, configuración de la red y credenciales del dispositivo). </w:t>
            </w:r>
          </w:p>
          <w:p w14:paraId="7D0FFCFA"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Gestión de elementos (descubrimiento, inventario, topología, imagen de software, licencias y gestión de configuración) </w:t>
            </w:r>
          </w:p>
          <w:p w14:paraId="69690EEF"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Gestión de elementos (parches) </w:t>
            </w:r>
          </w:p>
          <w:p w14:paraId="7E6EDA6F"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Monitoreo de red (cumplimiento del equipo de respuesta a incidentes de seguridad de productos [PSIRT] de Cisco; informes de fin de vida útil [EoL] y fin de soporte [EoS]; cociente de telemetría; cliente 360; dispositivo 360; y principales interlocutores, NetFlow y transmisión) recopilación y correlación de telemetría) </w:t>
            </w:r>
          </w:p>
          <w:p w14:paraId="7DBEDEF0"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Configuración y monitoreo de calidad de servicio (QoS) estática (aplicaciones QoS fáciles).</w:t>
            </w:r>
          </w:p>
          <w:p w14:paraId="1E7B9EE4"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Automatización basada en políticas (SD-Access; política basada en grupos para acceso, priorización de aplicaciones, monitoreo y selección de ruta; y SD-Access con conexión inalámbrica integrada) </w:t>
            </w:r>
          </w:p>
          <w:p w14:paraId="078B547E"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lastRenderedPageBreak/>
              <w:t xml:space="preserve">Garantía y análisis de red (percepciones de análisis y aprendizaje automático para la red, los clientes y las aplicaciones que cubren la incorporación, la conectividad y el rendimiento) </w:t>
            </w:r>
          </w:p>
          <w:p w14:paraId="07351A14"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Cisco ThousandEyes Network and Application Synthetics (Métricas de rendimiento de la red, tableros, visibilidad de la experiencia de aplicaciones y servicios, visibilidad de extremo a extremo en la nube y aplicaciones de DC). </w:t>
            </w:r>
          </w:p>
          <w:p w14:paraId="1B361C80"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Capacidades esenciales del interruptor </w:t>
            </w:r>
          </w:p>
          <w:p w14:paraId="05F02CED"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Acceso enrutado L3 </w:t>
            </w:r>
          </w:p>
          <w:p w14:paraId="69F82C14"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Programabilidad, NETCONF/RESTCONF/gRPC/YANG </w:t>
            </w:r>
          </w:p>
          <w:p w14:paraId="70BFED01"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Aprovisionamiento sin contacto </w:t>
            </w:r>
          </w:p>
          <w:p w14:paraId="0DF4353B"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Cifrado MACsec de 128 bits </w:t>
            </w:r>
          </w:p>
          <w:p w14:paraId="6CAAC144"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Telemetría avanzada SPAN, RSPAN </w:t>
            </w:r>
          </w:p>
          <w:p w14:paraId="6DC54DAE"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Transmisión de telemetría y visibilidad </w:t>
            </w:r>
          </w:p>
          <w:p w14:paraId="4541EF57"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Gestión de imágenes de software (SWIM) </w:t>
            </w:r>
          </w:p>
          <w:p w14:paraId="0D87C270"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Funcionalidad completa de enrutamiento L3 </w:t>
            </w:r>
          </w:p>
          <w:p w14:paraId="2C3AF065"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Segmentación de red flexible </w:t>
            </w:r>
          </w:p>
          <w:p w14:paraId="6C2524E3"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Alta disponibilidad </w:t>
            </w:r>
          </w:p>
          <w:p w14:paraId="6804FC44"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Gestión del ciclo de vida de parches </w:t>
            </w:r>
          </w:p>
          <w:p w14:paraId="224EBACF"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Optimizar la utilización del ancho de banda (multidifusión avanzada) </w:t>
            </w:r>
          </w:p>
          <w:p w14:paraId="41616593"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Cifrado MACsec de 256 bits </w:t>
            </w:r>
          </w:p>
          <w:p w14:paraId="50829217"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Protocolo de tiempo de precisión </w:t>
            </w:r>
          </w:p>
          <w:p w14:paraId="3C2B6674"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Puente de audio y video de interruptor </w:t>
            </w:r>
          </w:p>
          <w:p w14:paraId="680651C5" w14:textId="77777777" w:rsidR="003E2D5F" w:rsidRPr="00C0048B" w:rsidRDefault="003E2D5F" w:rsidP="003E2D5F">
            <w:pPr>
              <w:pStyle w:val="ListParagraph"/>
              <w:numPr>
                <w:ilvl w:val="0"/>
                <w:numId w:val="34"/>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rPr>
              <w:t xml:space="preserve">Tiempo de entrega requerido: 30 días. </w:t>
            </w:r>
          </w:p>
        </w:tc>
        <w:tc>
          <w:tcPr>
            <w:tcW w:w="1710" w:type="dxa"/>
            <w:tcBorders>
              <w:top w:val="single" w:sz="8" w:space="0" w:color="auto"/>
              <w:left w:val="single" w:sz="8" w:space="0" w:color="auto"/>
              <w:bottom w:val="single" w:sz="8" w:space="0" w:color="auto"/>
              <w:right w:val="single" w:sz="8" w:space="0" w:color="auto"/>
            </w:tcBorders>
          </w:tcPr>
          <w:p w14:paraId="557BE668" w14:textId="77777777" w:rsidR="003E2D5F" w:rsidRPr="00C0048B" w:rsidRDefault="003E2D5F" w:rsidP="002314B4">
            <w:pPr>
              <w:rPr>
                <w:rFonts w:ascii="Century Gothic" w:hAnsi="Century Gothic" w:cstheme="majorBidi"/>
                <w:sz w:val="18"/>
                <w:szCs w:val="18"/>
              </w:rPr>
            </w:pPr>
            <w:r w:rsidRPr="00C0048B">
              <w:rPr>
                <w:rFonts w:ascii="Century Gothic" w:hAnsi="Century Gothic" w:cstheme="majorBidi"/>
                <w:sz w:val="18"/>
                <w:szCs w:val="18"/>
              </w:rPr>
              <w:lastRenderedPageBreak/>
              <w:t xml:space="preserve">1 año de SWSS El servicio de soporte de software de suscripción CISCO. Incluye: soporte TAC las 24 horas, actualizaciones y actualizaciones de software en Cisco DNA Center. </w:t>
            </w:r>
          </w:p>
        </w:tc>
      </w:tr>
      <w:tr w:rsidR="003E2D5F" w:rsidRPr="00C0048B" w14:paraId="2730736C" w14:textId="77777777" w:rsidTr="002314B4">
        <w:trPr>
          <w:trHeight w:val="605"/>
        </w:trPr>
        <w:tc>
          <w:tcPr>
            <w:tcW w:w="630" w:type="dxa"/>
            <w:tcBorders>
              <w:top w:val="single" w:sz="8" w:space="0" w:color="auto"/>
              <w:left w:val="single" w:sz="8" w:space="0" w:color="auto"/>
              <w:bottom w:val="single" w:sz="8" w:space="0" w:color="auto"/>
              <w:right w:val="single" w:sz="8" w:space="0" w:color="auto"/>
            </w:tcBorders>
          </w:tcPr>
          <w:p w14:paraId="5CFA5A97" w14:textId="77777777" w:rsidR="003E2D5F" w:rsidRPr="00C0048B" w:rsidRDefault="003E2D5F" w:rsidP="002314B4">
            <w:pPr>
              <w:rPr>
                <w:rFonts w:ascii="Century Gothic" w:hAnsi="Century Gothic"/>
                <w:sz w:val="18"/>
                <w:szCs w:val="18"/>
              </w:rPr>
            </w:pPr>
            <w:r w:rsidRPr="00C0048B">
              <w:rPr>
                <w:rFonts w:ascii="Century Gothic" w:eastAsia="Calibri" w:hAnsi="Century Gothic" w:cs="Calibri"/>
                <w:sz w:val="18"/>
                <w:szCs w:val="18"/>
                <w:lang w:val="en-US"/>
              </w:rPr>
              <w:t>2</w:t>
            </w:r>
            <w:r w:rsidRPr="00C0048B">
              <w:rPr>
                <w:rFonts w:ascii="Century Gothic" w:eastAsia="Calibri" w:hAnsi="Century Gothic" w:cs="Calibri"/>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tcPr>
          <w:p w14:paraId="0B722FFF" w14:textId="77777777" w:rsidR="003E2D5F" w:rsidRPr="00C0048B" w:rsidRDefault="003E2D5F" w:rsidP="002314B4">
            <w:pPr>
              <w:jc w:val="center"/>
              <w:rPr>
                <w:rFonts w:ascii="Century Gothic" w:hAnsi="Century Gothic"/>
                <w:sz w:val="18"/>
                <w:szCs w:val="18"/>
              </w:rPr>
            </w:pPr>
            <w:r>
              <w:rPr>
                <w:rFonts w:ascii="Century Gothic" w:eastAsia="Calibri" w:hAnsi="Century Gothic" w:cs="Calibri"/>
                <w:sz w:val="18"/>
                <w:szCs w:val="18"/>
                <w:lang w:val="en-US"/>
              </w:rPr>
              <w:t>81112501</w:t>
            </w:r>
          </w:p>
          <w:p w14:paraId="36A7F4A5" w14:textId="77777777" w:rsidR="003E2D5F" w:rsidRPr="00C0048B" w:rsidRDefault="003E2D5F" w:rsidP="002314B4">
            <w:pPr>
              <w:jc w:val="center"/>
              <w:rPr>
                <w:rFonts w:ascii="Century Gothic" w:hAnsi="Century Gothic"/>
                <w:sz w:val="18"/>
                <w:szCs w:val="18"/>
              </w:rPr>
            </w:pPr>
          </w:p>
        </w:tc>
        <w:tc>
          <w:tcPr>
            <w:tcW w:w="1080" w:type="dxa"/>
            <w:tcBorders>
              <w:top w:val="single" w:sz="8" w:space="0" w:color="auto"/>
              <w:left w:val="single" w:sz="8" w:space="0" w:color="auto"/>
              <w:bottom w:val="single" w:sz="8" w:space="0" w:color="auto"/>
              <w:right w:val="single" w:sz="8" w:space="0" w:color="auto"/>
            </w:tcBorders>
          </w:tcPr>
          <w:p w14:paraId="646141D2" w14:textId="77777777" w:rsidR="003E2D5F" w:rsidRPr="00C0048B" w:rsidRDefault="003E2D5F" w:rsidP="002314B4">
            <w:pPr>
              <w:rPr>
                <w:rFonts w:ascii="Century Gothic" w:hAnsi="Century Gothic"/>
                <w:sz w:val="18"/>
                <w:szCs w:val="18"/>
              </w:rPr>
            </w:pPr>
            <w:r w:rsidRPr="00C0048B">
              <w:rPr>
                <w:rFonts w:ascii="Century Gothic" w:eastAsia="Calibri" w:hAnsi="Century Gothic" w:cs="Calibri"/>
                <w:sz w:val="18"/>
                <w:szCs w:val="18"/>
                <w:lang w:val="en-US"/>
              </w:rPr>
              <w:t xml:space="preserve">2 </w:t>
            </w:r>
            <w:r w:rsidRPr="00C0048B">
              <w:rPr>
                <w:rFonts w:ascii="Century Gothic" w:eastAsia="Calibri" w:hAnsi="Century Gothic" w:cs="Calibri"/>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tcPr>
          <w:p w14:paraId="0226F401" w14:textId="77777777" w:rsidR="003E2D5F" w:rsidRPr="00C0048B" w:rsidRDefault="003E2D5F" w:rsidP="002314B4">
            <w:pPr>
              <w:rPr>
                <w:rFonts w:ascii="Century Gothic" w:hAnsi="Century Gothic" w:cstheme="majorBidi"/>
                <w:sz w:val="18"/>
                <w:szCs w:val="18"/>
              </w:rPr>
            </w:pPr>
            <w:bookmarkStart w:id="6" w:name="_Hlk137805317"/>
            <w:r w:rsidRPr="00C0048B">
              <w:rPr>
                <w:rFonts w:ascii="Century Gothic" w:hAnsi="Century Gothic" w:cstheme="majorBidi"/>
                <w:sz w:val="18"/>
                <w:szCs w:val="18"/>
              </w:rPr>
              <w:t xml:space="preserve">FC-10-F32VM-813-02-36 </w:t>
            </w:r>
          </w:p>
          <w:p w14:paraId="2B6B6E41" w14:textId="77777777" w:rsidR="003E2D5F" w:rsidRPr="00C0048B" w:rsidRDefault="003E2D5F" w:rsidP="002314B4">
            <w:pPr>
              <w:rPr>
                <w:rFonts w:ascii="Century Gothic" w:hAnsi="Century Gothic" w:cstheme="majorBidi"/>
                <w:sz w:val="18"/>
                <w:szCs w:val="18"/>
              </w:rPr>
            </w:pPr>
            <w:r w:rsidRPr="00C0048B">
              <w:rPr>
                <w:rFonts w:ascii="Century Gothic" w:hAnsi="Century Gothic" w:cstheme="majorBidi"/>
                <w:sz w:val="18"/>
                <w:szCs w:val="18"/>
              </w:rPr>
              <w:t xml:space="preserve">FortiGate-VM </w:t>
            </w:r>
            <w:r w:rsidRPr="00C0048B">
              <w:rPr>
                <w:rFonts w:ascii="Century Gothic" w:hAnsi="Century Gothic" w:cstheme="majorBidi"/>
                <w:sz w:val="18"/>
                <w:szCs w:val="18"/>
                <w:lang w:val="es"/>
              </w:rPr>
              <w:t xml:space="preserve">Dispositivo </w:t>
            </w:r>
            <w:r w:rsidRPr="00C0048B">
              <w:rPr>
                <w:rFonts w:ascii="Century Gothic" w:hAnsi="Century Gothic" w:cstheme="majorBidi"/>
                <w:sz w:val="18"/>
                <w:szCs w:val="18"/>
              </w:rPr>
              <w:t>virtual</w:t>
            </w:r>
            <w:r w:rsidRPr="00C0048B">
              <w:rPr>
                <w:rFonts w:ascii="Century Gothic" w:hAnsi="Century Gothic" w:cstheme="majorBidi"/>
                <w:sz w:val="18"/>
                <w:szCs w:val="18"/>
                <w:lang w:val="es"/>
              </w:rPr>
              <w:t xml:space="preserve"> Compatible con Nutanix </w:t>
            </w:r>
            <w:r w:rsidRPr="00C0048B">
              <w:rPr>
                <w:rFonts w:ascii="Century Gothic" w:hAnsi="Century Gothic" w:cstheme="majorBidi"/>
                <w:sz w:val="18"/>
                <w:szCs w:val="18"/>
              </w:rPr>
              <w:t xml:space="preserve">- 32 x vCPU cores   y RAM ilimitada. </w:t>
            </w:r>
            <w:bookmarkEnd w:id="6"/>
          </w:p>
        </w:tc>
        <w:tc>
          <w:tcPr>
            <w:tcW w:w="4295" w:type="dxa"/>
            <w:tcBorders>
              <w:top w:val="single" w:sz="8" w:space="0" w:color="auto"/>
              <w:left w:val="single" w:sz="8" w:space="0" w:color="auto"/>
              <w:bottom w:val="single" w:sz="8" w:space="0" w:color="auto"/>
              <w:right w:val="single" w:sz="8" w:space="0" w:color="auto"/>
            </w:tcBorders>
          </w:tcPr>
          <w:p w14:paraId="53718DAE"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Compatibilidad con la interfaz de red (mínimo / máximo)1 /10.</w:t>
            </w:r>
            <w:r w:rsidRPr="00C0048B">
              <w:rPr>
                <w:rFonts w:ascii="Century Gothic" w:hAnsi="Century Gothic" w:cstheme="majorBidi"/>
                <w:sz w:val="18"/>
                <w:szCs w:val="18"/>
              </w:rPr>
              <w:t xml:space="preserve"> </w:t>
            </w:r>
          </w:p>
          <w:p w14:paraId="4655236D"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Soporte de memoria (mínimo / máximo) 1 GB / 24 GB.</w:t>
            </w:r>
            <w:r w:rsidRPr="00C0048B">
              <w:rPr>
                <w:rFonts w:ascii="Century Gothic" w:hAnsi="Century Gothic" w:cstheme="majorBidi"/>
                <w:sz w:val="18"/>
                <w:szCs w:val="18"/>
              </w:rPr>
              <w:t xml:space="preserve"> </w:t>
            </w:r>
          </w:p>
          <w:p w14:paraId="4B3CF6EC"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Soporte de almacenamiento (mínimo / máximo) 32 GB / 2 TB.</w:t>
            </w:r>
            <w:r w:rsidRPr="00C0048B">
              <w:rPr>
                <w:rFonts w:ascii="Century Gothic" w:hAnsi="Century Gothic" w:cstheme="majorBidi"/>
                <w:sz w:val="18"/>
                <w:szCs w:val="18"/>
              </w:rPr>
              <w:t xml:space="preserve"> </w:t>
            </w:r>
          </w:p>
          <w:p w14:paraId="7CD98BE7"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Puntos de acceso inalámbricos controlados (túnel / global)1.024 / 4.096.</w:t>
            </w:r>
            <w:r w:rsidRPr="00C0048B">
              <w:rPr>
                <w:rFonts w:ascii="Century Gothic" w:hAnsi="Century Gothic" w:cstheme="majorBidi"/>
                <w:sz w:val="18"/>
                <w:szCs w:val="18"/>
              </w:rPr>
              <w:t xml:space="preserve"> </w:t>
            </w:r>
          </w:p>
          <w:p w14:paraId="40D92AC2"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Dominios virtuales (predeterminado / máximo) 10 / 500.</w:t>
            </w:r>
            <w:r w:rsidRPr="00C0048B">
              <w:rPr>
                <w:rFonts w:ascii="Century Gothic" w:hAnsi="Century Gothic" w:cstheme="majorBidi"/>
                <w:sz w:val="18"/>
                <w:szCs w:val="18"/>
              </w:rPr>
              <w:t xml:space="preserve"> </w:t>
            </w:r>
          </w:p>
          <w:p w14:paraId="664A2878"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Políticas de firewall (VDOM / Sistema)50,000 / 100,000.</w:t>
            </w:r>
            <w:r w:rsidRPr="00C0048B">
              <w:rPr>
                <w:rFonts w:ascii="Century Gothic" w:hAnsi="Century Gothic" w:cstheme="majorBidi"/>
                <w:sz w:val="18"/>
                <w:szCs w:val="18"/>
              </w:rPr>
              <w:t xml:space="preserve"> </w:t>
            </w:r>
          </w:p>
          <w:p w14:paraId="45FF752F"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Número máximo de FortiTokens 5,000.</w:t>
            </w:r>
            <w:r w:rsidRPr="00C0048B">
              <w:rPr>
                <w:rFonts w:ascii="Century Gothic" w:hAnsi="Century Gothic" w:cstheme="majorBidi"/>
                <w:sz w:val="18"/>
                <w:szCs w:val="18"/>
              </w:rPr>
              <w:t xml:space="preserve"> </w:t>
            </w:r>
          </w:p>
          <w:p w14:paraId="743F73FF"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Número máximo de extremos registrados 20.000.</w:t>
            </w:r>
            <w:r w:rsidRPr="00C0048B">
              <w:rPr>
                <w:rFonts w:ascii="Century Gothic" w:hAnsi="Century Gothic" w:cstheme="majorBidi"/>
                <w:sz w:val="18"/>
                <w:szCs w:val="18"/>
              </w:rPr>
              <w:t xml:space="preserve"> </w:t>
            </w:r>
          </w:p>
          <w:p w14:paraId="4151FB5E"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Licencia de usuario ilimitada.</w:t>
            </w:r>
            <w:r w:rsidRPr="00C0048B">
              <w:rPr>
                <w:rFonts w:ascii="Century Gothic" w:hAnsi="Century Gothic" w:cstheme="majorBidi"/>
                <w:sz w:val="18"/>
                <w:szCs w:val="18"/>
              </w:rPr>
              <w:t xml:space="preserve"> </w:t>
            </w:r>
          </w:p>
          <w:p w14:paraId="01251733"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Rendimiento del firewall (paquetes UDP, SR-IOV habilitado) 36 Gbps.</w:t>
            </w:r>
            <w:r w:rsidRPr="00C0048B">
              <w:rPr>
                <w:rFonts w:ascii="Century Gothic" w:hAnsi="Century Gothic" w:cstheme="majorBidi"/>
                <w:sz w:val="18"/>
                <w:szCs w:val="18"/>
              </w:rPr>
              <w:t xml:space="preserve"> </w:t>
            </w:r>
          </w:p>
          <w:p w14:paraId="06F7AF09"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Sesiones simultáneas (TCP)18,0 millones de sesiones nuevas / segundo (TCP)175.000.</w:t>
            </w:r>
            <w:r w:rsidRPr="00C0048B">
              <w:rPr>
                <w:rFonts w:ascii="Century Gothic" w:hAnsi="Century Gothic" w:cstheme="majorBidi"/>
                <w:sz w:val="18"/>
                <w:szCs w:val="18"/>
              </w:rPr>
              <w:t xml:space="preserve"> </w:t>
            </w:r>
          </w:p>
          <w:p w14:paraId="6702A5E3"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Rendimiento de VPN IPsec (AES256+SHA1, 512 bytes)6,5 Gbps.</w:t>
            </w:r>
            <w:r w:rsidRPr="00C0048B">
              <w:rPr>
                <w:rFonts w:ascii="Century Gothic" w:hAnsi="Century Gothic" w:cstheme="majorBidi"/>
                <w:sz w:val="18"/>
                <w:szCs w:val="18"/>
              </w:rPr>
              <w:t xml:space="preserve"> </w:t>
            </w:r>
          </w:p>
          <w:p w14:paraId="6BA2F4F4"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Túneles VPN IPsec de puerta de enlace a puerta de enlace 40.000.</w:t>
            </w:r>
            <w:r w:rsidRPr="00C0048B">
              <w:rPr>
                <w:rFonts w:ascii="Century Gothic" w:hAnsi="Century Gothic" w:cstheme="majorBidi"/>
                <w:sz w:val="18"/>
                <w:szCs w:val="18"/>
              </w:rPr>
              <w:t xml:space="preserve"> </w:t>
            </w:r>
          </w:p>
          <w:p w14:paraId="659C23FB"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Túneles VPN IPsec de cliente a puerta de enlace 50.000.</w:t>
            </w:r>
            <w:r w:rsidRPr="00C0048B">
              <w:rPr>
                <w:rFonts w:ascii="Century Gothic" w:hAnsi="Century Gothic" w:cstheme="majorBidi"/>
                <w:sz w:val="18"/>
                <w:szCs w:val="18"/>
              </w:rPr>
              <w:t xml:space="preserve"> </w:t>
            </w:r>
          </w:p>
          <w:p w14:paraId="321D5164"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Rendimiento SSL-VPN 8,5 Gbps.</w:t>
            </w:r>
            <w:r w:rsidRPr="00C0048B">
              <w:rPr>
                <w:rFonts w:ascii="Century Gothic" w:hAnsi="Century Gothic" w:cstheme="majorBidi"/>
                <w:sz w:val="18"/>
                <w:szCs w:val="18"/>
              </w:rPr>
              <w:t xml:space="preserve"> </w:t>
            </w:r>
          </w:p>
          <w:p w14:paraId="29C830D0"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Usuarios SSL-VPN simultáneos (máximo recomendado) 25.000.</w:t>
            </w:r>
            <w:r w:rsidRPr="00C0048B">
              <w:rPr>
                <w:rFonts w:ascii="Century Gothic" w:hAnsi="Century Gothic" w:cstheme="majorBidi"/>
                <w:sz w:val="18"/>
                <w:szCs w:val="18"/>
              </w:rPr>
              <w:t xml:space="preserve"> </w:t>
            </w:r>
          </w:p>
          <w:p w14:paraId="000559FB"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Rendimiento IPS (HTTP / Enterprise Mix)125.0 Gbps / 12.0 Gbps.</w:t>
            </w:r>
            <w:r w:rsidRPr="00C0048B">
              <w:rPr>
                <w:rFonts w:ascii="Century Gothic" w:hAnsi="Century Gothic" w:cstheme="majorBidi"/>
                <w:sz w:val="18"/>
                <w:szCs w:val="18"/>
              </w:rPr>
              <w:t xml:space="preserve"> </w:t>
            </w:r>
          </w:p>
          <w:p w14:paraId="6859B16C"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Rendimiento de control de aplicaciones217,0 Gbps.</w:t>
            </w:r>
            <w:r w:rsidRPr="00C0048B">
              <w:rPr>
                <w:rFonts w:ascii="Century Gothic" w:hAnsi="Century Gothic" w:cstheme="majorBidi"/>
                <w:sz w:val="18"/>
                <w:szCs w:val="18"/>
              </w:rPr>
              <w:t xml:space="preserve"> </w:t>
            </w:r>
          </w:p>
          <w:p w14:paraId="53F861C3"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lastRenderedPageBreak/>
              <w:t>Rendimiento NGFW3 9,0 Gbps.</w:t>
            </w:r>
            <w:r w:rsidRPr="00C0048B">
              <w:rPr>
                <w:rFonts w:ascii="Century Gothic" w:hAnsi="Century Gothic" w:cstheme="majorBidi"/>
                <w:sz w:val="18"/>
                <w:szCs w:val="18"/>
              </w:rPr>
              <w:t xml:space="preserve"> </w:t>
            </w:r>
          </w:p>
          <w:p w14:paraId="7ACB6242" w14:textId="77777777" w:rsidR="003E2D5F" w:rsidRPr="00C0048B" w:rsidRDefault="003E2D5F" w:rsidP="003E2D5F">
            <w:pPr>
              <w:pStyle w:val="ListParagraph"/>
              <w:numPr>
                <w:ilvl w:val="0"/>
                <w:numId w:val="37"/>
              </w:numPr>
              <w:ind w:left="270" w:hanging="270"/>
              <w:contextualSpacing w:val="0"/>
              <w:rPr>
                <w:rFonts w:ascii="Century Gothic" w:hAnsi="Century Gothic" w:cstheme="majorBidi"/>
                <w:sz w:val="18"/>
                <w:szCs w:val="18"/>
              </w:rPr>
            </w:pPr>
            <w:r w:rsidRPr="00C0048B">
              <w:rPr>
                <w:rFonts w:ascii="Century Gothic" w:hAnsi="Century Gothic" w:cstheme="majorBidi"/>
                <w:sz w:val="18"/>
                <w:szCs w:val="18"/>
                <w:lang w:val="es"/>
              </w:rPr>
              <w:t>Rendimiento de la protección contra amenazas.</w:t>
            </w:r>
            <w:r w:rsidRPr="00C0048B">
              <w:rPr>
                <w:rFonts w:ascii="Century Gothic" w:hAnsi="Century Gothic" w:cstheme="majorBidi"/>
                <w:sz w:val="18"/>
                <w:szCs w:val="18"/>
              </w:rPr>
              <w:t xml:space="preserve"> </w:t>
            </w:r>
          </w:p>
          <w:p w14:paraId="678577CF" w14:textId="77777777" w:rsidR="003E2D5F" w:rsidRPr="00C0048B" w:rsidRDefault="003E2D5F" w:rsidP="002314B4">
            <w:pPr>
              <w:ind w:left="69" w:right="241" w:hanging="69"/>
              <w:contextualSpacing/>
              <w:jc w:val="both"/>
              <w:rPr>
                <w:rFonts w:ascii="Century Gothic" w:hAnsi="Century Gothic" w:cstheme="majorBidi"/>
                <w:sz w:val="18"/>
                <w:szCs w:val="18"/>
              </w:rPr>
            </w:pPr>
          </w:p>
        </w:tc>
        <w:tc>
          <w:tcPr>
            <w:tcW w:w="1710" w:type="dxa"/>
            <w:tcBorders>
              <w:top w:val="single" w:sz="8" w:space="0" w:color="auto"/>
              <w:left w:val="single" w:sz="8" w:space="0" w:color="auto"/>
              <w:bottom w:val="single" w:sz="8" w:space="0" w:color="auto"/>
              <w:right w:val="single" w:sz="8" w:space="0" w:color="auto"/>
            </w:tcBorders>
          </w:tcPr>
          <w:p w14:paraId="06522787" w14:textId="77777777" w:rsidR="003E2D5F" w:rsidRPr="00C0048B" w:rsidRDefault="003E2D5F" w:rsidP="002314B4">
            <w:pPr>
              <w:rPr>
                <w:rFonts w:ascii="Century Gothic" w:hAnsi="Century Gothic" w:cstheme="majorBidi"/>
                <w:sz w:val="18"/>
                <w:szCs w:val="18"/>
              </w:rPr>
            </w:pPr>
            <w:r w:rsidRPr="00C0048B">
              <w:rPr>
                <w:rFonts w:ascii="Century Gothic" w:hAnsi="Century Gothic" w:cstheme="majorBidi"/>
                <w:sz w:val="18"/>
                <w:szCs w:val="18"/>
              </w:rPr>
              <w:lastRenderedPageBreak/>
              <w:t xml:space="preserve">3 años de licencia para #: FC-10-F32VM-813-02-36: </w:t>
            </w:r>
          </w:p>
          <w:p w14:paraId="18C32C07" w14:textId="77777777" w:rsidR="003E2D5F" w:rsidRPr="00C0048B" w:rsidRDefault="003E2D5F" w:rsidP="003E2D5F">
            <w:pPr>
              <w:pStyle w:val="ListParagraph"/>
              <w:numPr>
                <w:ilvl w:val="0"/>
                <w:numId w:val="36"/>
              </w:numPr>
              <w:ind w:left="180" w:hanging="180"/>
              <w:contextualSpacing w:val="0"/>
              <w:rPr>
                <w:rFonts w:ascii="Century Gothic" w:hAnsi="Century Gothic" w:cstheme="majorBidi"/>
                <w:sz w:val="18"/>
                <w:szCs w:val="18"/>
              </w:rPr>
            </w:pPr>
            <w:r w:rsidRPr="00C0048B">
              <w:rPr>
                <w:rFonts w:ascii="Century Gothic" w:hAnsi="Century Gothic" w:cstheme="majorBidi"/>
                <w:sz w:val="18"/>
                <w:szCs w:val="18"/>
                <w:lang w:val="es"/>
              </w:rPr>
              <w:t>Ofrece todos los servicios de seguridad FortiGuard disponibles para FortiGate, incluida la protección antivirus, web y de correo electrónico.</w:t>
            </w:r>
            <w:r w:rsidRPr="00C0048B">
              <w:rPr>
                <w:rFonts w:ascii="Century Gothic" w:hAnsi="Century Gothic" w:cstheme="majorBidi"/>
                <w:sz w:val="18"/>
                <w:szCs w:val="18"/>
              </w:rPr>
              <w:t xml:space="preserve"> </w:t>
            </w:r>
          </w:p>
          <w:p w14:paraId="127CD50C" w14:textId="77777777" w:rsidR="003E2D5F" w:rsidRPr="00C0048B" w:rsidRDefault="003E2D5F" w:rsidP="003E2D5F">
            <w:pPr>
              <w:pStyle w:val="ListParagraph"/>
              <w:numPr>
                <w:ilvl w:val="0"/>
                <w:numId w:val="36"/>
              </w:numPr>
              <w:ind w:left="180" w:hanging="180"/>
              <w:contextualSpacing w:val="0"/>
              <w:rPr>
                <w:rFonts w:ascii="Century Gothic" w:hAnsi="Century Gothic" w:cstheme="majorBidi"/>
                <w:sz w:val="18"/>
                <w:szCs w:val="18"/>
              </w:rPr>
            </w:pPr>
            <w:r w:rsidRPr="00C0048B">
              <w:rPr>
                <w:rFonts w:ascii="Century Gothic" w:hAnsi="Century Gothic" w:cstheme="majorBidi"/>
                <w:sz w:val="18"/>
                <w:szCs w:val="18"/>
                <w:lang w:val="es"/>
              </w:rPr>
              <w:t>CASB, Seguridad Industrial y Calificación de Seguridad.</w:t>
            </w:r>
            <w:r w:rsidRPr="00C0048B">
              <w:rPr>
                <w:rFonts w:ascii="Century Gothic" w:hAnsi="Century Gothic" w:cstheme="majorBidi"/>
                <w:sz w:val="18"/>
                <w:szCs w:val="18"/>
              </w:rPr>
              <w:t xml:space="preserve"> </w:t>
            </w:r>
          </w:p>
          <w:p w14:paraId="5A05F24B" w14:textId="77777777" w:rsidR="003E2D5F" w:rsidRPr="00C0048B" w:rsidRDefault="003E2D5F" w:rsidP="003E2D5F">
            <w:pPr>
              <w:pStyle w:val="ListParagraph"/>
              <w:numPr>
                <w:ilvl w:val="0"/>
                <w:numId w:val="36"/>
              </w:numPr>
              <w:ind w:left="180" w:hanging="180"/>
              <w:contextualSpacing w:val="0"/>
              <w:rPr>
                <w:rFonts w:ascii="Century Gothic" w:hAnsi="Century Gothic" w:cstheme="majorBidi"/>
                <w:sz w:val="18"/>
                <w:szCs w:val="18"/>
              </w:rPr>
            </w:pPr>
            <w:r w:rsidRPr="00C0048B">
              <w:rPr>
                <w:rFonts w:ascii="Century Gothic" w:hAnsi="Century Gothic" w:cstheme="majorBidi"/>
                <w:sz w:val="18"/>
                <w:szCs w:val="18"/>
                <w:lang w:val="en-US"/>
              </w:rPr>
              <w:t>FortiSandbox Cloud Service.</w:t>
            </w:r>
            <w:r w:rsidRPr="00C0048B">
              <w:rPr>
                <w:rFonts w:ascii="Century Gothic" w:hAnsi="Century Gothic" w:cstheme="majorBidi"/>
                <w:sz w:val="18"/>
                <w:szCs w:val="18"/>
              </w:rPr>
              <w:t xml:space="preserve"> </w:t>
            </w:r>
          </w:p>
          <w:p w14:paraId="312D0548" w14:textId="77777777" w:rsidR="003E2D5F" w:rsidRPr="00C0048B" w:rsidRDefault="003E2D5F" w:rsidP="003E2D5F">
            <w:pPr>
              <w:pStyle w:val="ListParagraph"/>
              <w:numPr>
                <w:ilvl w:val="0"/>
                <w:numId w:val="36"/>
              </w:numPr>
              <w:ind w:left="180" w:hanging="180"/>
              <w:contextualSpacing w:val="0"/>
              <w:rPr>
                <w:rFonts w:ascii="Century Gothic" w:eastAsia="Calibri Light" w:hAnsi="Century Gothic" w:cs="Calibri Light"/>
                <w:color w:val="000000" w:themeColor="text1"/>
                <w:sz w:val="18"/>
                <w:szCs w:val="18"/>
                <w:lang w:val="es"/>
              </w:rPr>
            </w:pPr>
            <w:r w:rsidRPr="00C0048B">
              <w:rPr>
                <w:rFonts w:ascii="Century Gothic" w:hAnsi="Century Gothic" w:cstheme="majorBidi"/>
                <w:sz w:val="18"/>
                <w:szCs w:val="18"/>
                <w:lang w:val="es"/>
              </w:rPr>
              <w:t>Soporte técnico FortiCare y actualizaciones</w:t>
            </w:r>
            <w:r w:rsidRPr="00C0048B">
              <w:rPr>
                <w:rFonts w:ascii="Century Gothic" w:eastAsia="Calibri Light" w:hAnsi="Century Gothic" w:cs="Calibri Light"/>
                <w:color w:val="000000" w:themeColor="text1"/>
                <w:sz w:val="18"/>
                <w:szCs w:val="18"/>
                <w:lang w:val="es"/>
              </w:rPr>
              <w:t xml:space="preserve"> 24x7x365</w:t>
            </w:r>
          </w:p>
        </w:tc>
      </w:tr>
      <w:tr w:rsidR="003E2D5F" w:rsidRPr="00C0048B" w14:paraId="0FFBCD8C" w14:textId="77777777" w:rsidTr="002314B4">
        <w:trPr>
          <w:trHeight w:val="300"/>
        </w:trPr>
        <w:tc>
          <w:tcPr>
            <w:tcW w:w="630" w:type="dxa"/>
            <w:tcBorders>
              <w:top w:val="single" w:sz="8" w:space="0" w:color="auto"/>
              <w:left w:val="single" w:sz="8" w:space="0" w:color="auto"/>
              <w:bottom w:val="single" w:sz="8" w:space="0" w:color="auto"/>
              <w:right w:val="single" w:sz="8" w:space="0" w:color="auto"/>
            </w:tcBorders>
          </w:tcPr>
          <w:p w14:paraId="08C8CF07" w14:textId="77777777" w:rsidR="003E2D5F" w:rsidRPr="00C0048B" w:rsidRDefault="003E2D5F" w:rsidP="002314B4">
            <w:pPr>
              <w:jc w:val="right"/>
              <w:rPr>
                <w:rFonts w:ascii="Century Gothic" w:hAnsi="Century Gothic"/>
                <w:sz w:val="18"/>
                <w:szCs w:val="18"/>
              </w:rPr>
            </w:pPr>
            <w:r w:rsidRPr="00C0048B">
              <w:rPr>
                <w:rFonts w:ascii="Century Gothic" w:eastAsia="Calibri" w:hAnsi="Century Gothic" w:cs="Calibri"/>
                <w:sz w:val="18"/>
                <w:szCs w:val="18"/>
                <w:lang w:val="en-US"/>
              </w:rPr>
              <w:t>3</w:t>
            </w:r>
            <w:r w:rsidRPr="00C0048B">
              <w:rPr>
                <w:rFonts w:ascii="Century Gothic" w:eastAsia="Calibri" w:hAnsi="Century Gothic" w:cs="Calibri"/>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tcPr>
          <w:p w14:paraId="1ABAFC63" w14:textId="77777777" w:rsidR="003E2D5F" w:rsidRPr="00C0048B" w:rsidRDefault="003E2D5F" w:rsidP="002314B4">
            <w:pPr>
              <w:jc w:val="center"/>
              <w:rPr>
                <w:rFonts w:ascii="Century Gothic" w:hAnsi="Century Gothic"/>
                <w:sz w:val="18"/>
                <w:szCs w:val="18"/>
              </w:rPr>
            </w:pPr>
            <w:r>
              <w:rPr>
                <w:rFonts w:ascii="Century Gothic" w:eastAsia="Calibri" w:hAnsi="Century Gothic" w:cs="Calibri"/>
                <w:sz w:val="18"/>
                <w:szCs w:val="18"/>
                <w:lang w:val="en-US"/>
              </w:rPr>
              <w:t>81112501</w:t>
            </w:r>
          </w:p>
          <w:p w14:paraId="12712853" w14:textId="77777777" w:rsidR="003E2D5F" w:rsidRPr="00C0048B" w:rsidRDefault="003E2D5F" w:rsidP="002314B4">
            <w:pPr>
              <w:jc w:val="right"/>
              <w:rPr>
                <w:rFonts w:ascii="Century Gothic" w:hAnsi="Century Gothic"/>
                <w:sz w:val="18"/>
                <w:szCs w:val="18"/>
              </w:rPr>
            </w:pPr>
            <w:r w:rsidRPr="00C0048B">
              <w:rPr>
                <w:rFonts w:ascii="Century Gothic" w:eastAsia="Calibri" w:hAnsi="Century Gothic" w:cs="Calibri"/>
                <w:sz w:val="18"/>
                <w:szCs w:val="18"/>
              </w:rPr>
              <w:t xml:space="preserve"> </w:t>
            </w:r>
          </w:p>
        </w:tc>
        <w:tc>
          <w:tcPr>
            <w:tcW w:w="1080" w:type="dxa"/>
            <w:tcBorders>
              <w:top w:val="single" w:sz="8" w:space="0" w:color="auto"/>
              <w:left w:val="single" w:sz="8" w:space="0" w:color="auto"/>
              <w:bottom w:val="single" w:sz="8" w:space="0" w:color="auto"/>
              <w:right w:val="single" w:sz="8" w:space="0" w:color="auto"/>
            </w:tcBorders>
          </w:tcPr>
          <w:p w14:paraId="1A24C123" w14:textId="77777777" w:rsidR="003E2D5F" w:rsidRPr="00C0048B" w:rsidRDefault="003E2D5F" w:rsidP="002314B4">
            <w:pPr>
              <w:jc w:val="both"/>
              <w:rPr>
                <w:rFonts w:ascii="Century Gothic" w:hAnsi="Century Gothic"/>
                <w:sz w:val="18"/>
                <w:szCs w:val="18"/>
              </w:rPr>
            </w:pPr>
            <w:r w:rsidRPr="00C0048B">
              <w:rPr>
                <w:rFonts w:ascii="Century Gothic" w:eastAsia="Calibri" w:hAnsi="Century Gothic" w:cs="Calibri"/>
                <w:sz w:val="18"/>
                <w:szCs w:val="18"/>
                <w:lang w:val="en-US"/>
              </w:rPr>
              <w:t>1</w:t>
            </w:r>
            <w:r w:rsidRPr="00C0048B">
              <w:rPr>
                <w:rFonts w:ascii="Century Gothic" w:eastAsia="Calibri" w:hAnsi="Century Gothic" w:cs="Calibri"/>
                <w:sz w:val="18"/>
                <w:szCs w:val="18"/>
              </w:rPr>
              <w:t xml:space="preserve"> </w:t>
            </w:r>
          </w:p>
        </w:tc>
        <w:tc>
          <w:tcPr>
            <w:tcW w:w="1701" w:type="dxa"/>
            <w:tcBorders>
              <w:top w:val="single" w:sz="8" w:space="0" w:color="auto"/>
              <w:left w:val="single" w:sz="8" w:space="0" w:color="auto"/>
              <w:bottom w:val="single" w:sz="8" w:space="0" w:color="auto"/>
              <w:right w:val="single" w:sz="8" w:space="0" w:color="auto"/>
            </w:tcBorders>
          </w:tcPr>
          <w:p w14:paraId="0F120C0C" w14:textId="77777777" w:rsidR="003E2D5F" w:rsidRPr="00C0048B" w:rsidRDefault="003E2D5F" w:rsidP="002314B4">
            <w:pPr>
              <w:jc w:val="both"/>
              <w:rPr>
                <w:rFonts w:ascii="Century Gothic" w:hAnsi="Century Gothic" w:cstheme="majorBidi"/>
                <w:sz w:val="18"/>
                <w:szCs w:val="18"/>
              </w:rPr>
            </w:pPr>
            <w:bookmarkStart w:id="7" w:name="_Hlk137805282"/>
            <w:r w:rsidRPr="00C0048B">
              <w:rPr>
                <w:rFonts w:ascii="Century Gothic" w:hAnsi="Century Gothic" w:cstheme="majorBidi"/>
                <w:sz w:val="18"/>
                <w:szCs w:val="18"/>
              </w:rPr>
              <w:t xml:space="preserve">Renovación de Soporte Licencias de PL/SQL Developer </w:t>
            </w:r>
            <w:bookmarkEnd w:id="7"/>
          </w:p>
        </w:tc>
        <w:tc>
          <w:tcPr>
            <w:tcW w:w="4295" w:type="dxa"/>
            <w:tcBorders>
              <w:top w:val="single" w:sz="8" w:space="0" w:color="auto"/>
              <w:left w:val="single" w:sz="8" w:space="0" w:color="auto"/>
              <w:bottom w:val="single" w:sz="8" w:space="0" w:color="auto"/>
              <w:right w:val="single" w:sz="8" w:space="0" w:color="auto"/>
            </w:tcBorders>
          </w:tcPr>
          <w:p w14:paraId="4264E1E8" w14:textId="77777777" w:rsidR="003E2D5F" w:rsidRPr="00C0048B" w:rsidRDefault="003E2D5F" w:rsidP="003E2D5F">
            <w:pPr>
              <w:pStyle w:val="ListParagraph"/>
              <w:numPr>
                <w:ilvl w:val="0"/>
                <w:numId w:val="35"/>
              </w:numPr>
              <w:ind w:left="180" w:hanging="180"/>
              <w:contextualSpacing w:val="0"/>
              <w:rPr>
                <w:rFonts w:ascii="Century Gothic" w:hAnsi="Century Gothic" w:cstheme="majorBidi"/>
                <w:sz w:val="18"/>
                <w:szCs w:val="18"/>
              </w:rPr>
            </w:pPr>
            <w:r w:rsidRPr="00C0048B">
              <w:rPr>
                <w:rFonts w:ascii="Century Gothic" w:hAnsi="Century Gothic" w:cstheme="majorBidi"/>
                <w:sz w:val="18"/>
                <w:szCs w:val="18"/>
              </w:rPr>
              <w:t xml:space="preserve">Renovación del derecho de uso por un año (Annual Maintenance Renewal) </w:t>
            </w:r>
          </w:p>
          <w:p w14:paraId="333B47F1" w14:textId="77777777" w:rsidR="003E2D5F" w:rsidRPr="00C0048B" w:rsidRDefault="003E2D5F" w:rsidP="003E2D5F">
            <w:pPr>
              <w:pStyle w:val="ListParagraph"/>
              <w:numPr>
                <w:ilvl w:val="0"/>
                <w:numId w:val="35"/>
              </w:numPr>
              <w:ind w:left="180" w:hanging="180"/>
              <w:contextualSpacing w:val="0"/>
              <w:rPr>
                <w:rFonts w:ascii="Century Gothic" w:hAnsi="Century Gothic" w:cstheme="majorBidi"/>
                <w:sz w:val="18"/>
                <w:szCs w:val="18"/>
              </w:rPr>
            </w:pPr>
            <w:r w:rsidRPr="00C0048B">
              <w:rPr>
                <w:rFonts w:ascii="Century Gothic" w:hAnsi="Century Gothic" w:cstheme="majorBidi"/>
                <w:sz w:val="18"/>
                <w:szCs w:val="18"/>
              </w:rPr>
              <w:t xml:space="preserve">Cien (100) asientos del software PL/SQL Developer </w:t>
            </w:r>
          </w:p>
          <w:p w14:paraId="0443A70C" w14:textId="77777777" w:rsidR="003E2D5F" w:rsidRPr="00C0048B" w:rsidRDefault="003E2D5F" w:rsidP="003E2D5F">
            <w:pPr>
              <w:pStyle w:val="ListParagraph"/>
              <w:numPr>
                <w:ilvl w:val="0"/>
                <w:numId w:val="35"/>
              </w:numPr>
              <w:ind w:left="180" w:hanging="180"/>
              <w:contextualSpacing w:val="0"/>
              <w:rPr>
                <w:rFonts w:ascii="Century Gothic" w:hAnsi="Century Gothic" w:cstheme="majorBidi"/>
                <w:sz w:val="18"/>
                <w:szCs w:val="18"/>
              </w:rPr>
            </w:pPr>
            <w:r w:rsidRPr="00C0048B">
              <w:rPr>
                <w:rFonts w:ascii="Century Gothic" w:hAnsi="Century Gothic" w:cstheme="majorBidi"/>
                <w:sz w:val="18"/>
                <w:szCs w:val="18"/>
                <w:lang w:val="en-US"/>
              </w:rPr>
              <w:t>Número de Parte: 5266.100</w:t>
            </w:r>
            <w:r w:rsidRPr="00C0048B">
              <w:rPr>
                <w:rFonts w:ascii="Century Gothic" w:hAnsi="Century Gothic" w:cstheme="majorBidi"/>
                <w:sz w:val="18"/>
                <w:szCs w:val="18"/>
              </w:rPr>
              <w:t xml:space="preserve"> </w:t>
            </w:r>
          </w:p>
          <w:p w14:paraId="326C1734" w14:textId="77777777" w:rsidR="003E2D5F" w:rsidRPr="00C0048B" w:rsidRDefault="003E2D5F" w:rsidP="003E2D5F">
            <w:pPr>
              <w:pStyle w:val="ListParagraph"/>
              <w:numPr>
                <w:ilvl w:val="0"/>
                <w:numId w:val="35"/>
              </w:numPr>
              <w:ind w:left="180" w:hanging="180"/>
              <w:contextualSpacing w:val="0"/>
              <w:rPr>
                <w:rFonts w:ascii="Century Gothic" w:hAnsi="Century Gothic" w:cstheme="majorBidi"/>
                <w:sz w:val="18"/>
                <w:szCs w:val="18"/>
              </w:rPr>
            </w:pPr>
            <w:r w:rsidRPr="00C0048B">
              <w:rPr>
                <w:rFonts w:ascii="Century Gothic" w:hAnsi="Century Gothic" w:cstheme="majorBidi"/>
                <w:sz w:val="18"/>
                <w:szCs w:val="18"/>
                <w:lang w:val="en-US"/>
              </w:rPr>
              <w:t>Serial number: 01.126306</w:t>
            </w:r>
            <w:r w:rsidRPr="00C0048B">
              <w:rPr>
                <w:rFonts w:ascii="Century Gothic" w:hAnsi="Century Gothic" w:cstheme="majorBidi"/>
                <w:sz w:val="18"/>
                <w:szCs w:val="18"/>
              </w:rPr>
              <w:t xml:space="preserve"> </w:t>
            </w:r>
          </w:p>
        </w:tc>
        <w:tc>
          <w:tcPr>
            <w:tcW w:w="1710" w:type="dxa"/>
            <w:tcBorders>
              <w:top w:val="single" w:sz="8" w:space="0" w:color="auto"/>
              <w:left w:val="single" w:sz="8" w:space="0" w:color="auto"/>
              <w:bottom w:val="single" w:sz="8" w:space="0" w:color="auto"/>
              <w:right w:val="single" w:sz="8" w:space="0" w:color="auto"/>
            </w:tcBorders>
          </w:tcPr>
          <w:p w14:paraId="77C3074B" w14:textId="77777777" w:rsidR="003E2D5F" w:rsidRPr="00C0048B" w:rsidRDefault="003E2D5F" w:rsidP="002314B4">
            <w:pPr>
              <w:jc w:val="both"/>
              <w:rPr>
                <w:rFonts w:ascii="Century Gothic" w:eastAsia="Calibri" w:hAnsi="Century Gothic" w:cs="Calibri"/>
                <w:sz w:val="18"/>
                <w:szCs w:val="18"/>
              </w:rPr>
            </w:pPr>
            <w:r w:rsidRPr="00C0048B">
              <w:rPr>
                <w:rFonts w:ascii="Century Gothic" w:eastAsia="Calibri" w:hAnsi="Century Gothic" w:cs="Calibri"/>
                <w:sz w:val="18"/>
                <w:szCs w:val="18"/>
              </w:rPr>
              <w:t xml:space="preserve">1 </w:t>
            </w:r>
            <w:r w:rsidRPr="00C0048B">
              <w:rPr>
                <w:rFonts w:ascii="Century Gothic" w:hAnsi="Century Gothic"/>
                <w:sz w:val="18"/>
                <w:szCs w:val="18"/>
              </w:rPr>
              <w:t>año de soporte y actualizaciones.</w:t>
            </w:r>
          </w:p>
        </w:tc>
      </w:tr>
    </w:tbl>
    <w:p w14:paraId="18E7FAE0" w14:textId="77777777" w:rsidR="002B5AAF" w:rsidRPr="00825CF3"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lastRenderedPageBreak/>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8"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8"/>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lastRenderedPageBreak/>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9" w:name="_Hlk60819380"/>
      <w:r w:rsidRPr="00A37913">
        <w:rPr>
          <w:rFonts w:asciiTheme="minorHAnsi" w:hAnsiTheme="minorHAnsi" w:cstheme="minorHAnsi"/>
          <w:b/>
          <w:bCs/>
          <w:color w:val="000000"/>
          <w:lang w:val="es-DO"/>
        </w:rPr>
        <w:t>LA ENTIDAD CONTRATANTE</w:t>
      </w:r>
      <w:bookmarkEnd w:id="9"/>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15E513A"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lastRenderedPageBreak/>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25CF3" w:rsidRPr="0092586B">
        <w:rPr>
          <w:rFonts w:asciiTheme="minorHAnsi" w:hAnsiTheme="minorHAnsi" w:cs="Calibri"/>
          <w:color w:val="000000"/>
          <w:lang w:val="es-DO"/>
        </w:rPr>
        <w:t>veint</w:t>
      </w:r>
      <w:r w:rsidR="00825CF3">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25CF3">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D0CDE"/>
    <w:multiLevelType w:val="hybridMultilevel"/>
    <w:tmpl w:val="40FEBBEC"/>
    <w:lvl w:ilvl="0" w:tplc="019AB3A6">
      <w:start w:val="1"/>
      <w:numFmt w:val="bullet"/>
      <w:lvlText w:val="·"/>
      <w:lvlJc w:val="left"/>
      <w:pPr>
        <w:ind w:left="720" w:hanging="360"/>
      </w:pPr>
      <w:rPr>
        <w:rFonts w:ascii="Symbol" w:hAnsi="Symbol" w:hint="default"/>
      </w:rPr>
    </w:lvl>
    <w:lvl w:ilvl="1" w:tplc="5D064730">
      <w:start w:val="1"/>
      <w:numFmt w:val="bullet"/>
      <w:lvlText w:val="o"/>
      <w:lvlJc w:val="left"/>
      <w:pPr>
        <w:ind w:left="1440" w:hanging="360"/>
      </w:pPr>
      <w:rPr>
        <w:rFonts w:ascii="Courier New" w:hAnsi="Courier New" w:hint="default"/>
      </w:rPr>
    </w:lvl>
    <w:lvl w:ilvl="2" w:tplc="79866D40">
      <w:start w:val="1"/>
      <w:numFmt w:val="bullet"/>
      <w:lvlText w:val=""/>
      <w:lvlJc w:val="left"/>
      <w:pPr>
        <w:ind w:left="2160" w:hanging="360"/>
      </w:pPr>
      <w:rPr>
        <w:rFonts w:ascii="Wingdings" w:hAnsi="Wingdings" w:hint="default"/>
      </w:rPr>
    </w:lvl>
    <w:lvl w:ilvl="3" w:tplc="9232FE3A">
      <w:start w:val="1"/>
      <w:numFmt w:val="bullet"/>
      <w:lvlText w:val=""/>
      <w:lvlJc w:val="left"/>
      <w:pPr>
        <w:ind w:left="2880" w:hanging="360"/>
      </w:pPr>
      <w:rPr>
        <w:rFonts w:ascii="Symbol" w:hAnsi="Symbol" w:hint="default"/>
      </w:rPr>
    </w:lvl>
    <w:lvl w:ilvl="4" w:tplc="7AE66A56">
      <w:start w:val="1"/>
      <w:numFmt w:val="bullet"/>
      <w:lvlText w:val="o"/>
      <w:lvlJc w:val="left"/>
      <w:pPr>
        <w:ind w:left="3600" w:hanging="360"/>
      </w:pPr>
      <w:rPr>
        <w:rFonts w:ascii="Courier New" w:hAnsi="Courier New" w:hint="default"/>
      </w:rPr>
    </w:lvl>
    <w:lvl w:ilvl="5" w:tplc="F46094BC">
      <w:start w:val="1"/>
      <w:numFmt w:val="bullet"/>
      <w:lvlText w:val=""/>
      <w:lvlJc w:val="left"/>
      <w:pPr>
        <w:ind w:left="4320" w:hanging="360"/>
      </w:pPr>
      <w:rPr>
        <w:rFonts w:ascii="Wingdings" w:hAnsi="Wingdings" w:hint="default"/>
      </w:rPr>
    </w:lvl>
    <w:lvl w:ilvl="6" w:tplc="6562D734">
      <w:start w:val="1"/>
      <w:numFmt w:val="bullet"/>
      <w:lvlText w:val=""/>
      <w:lvlJc w:val="left"/>
      <w:pPr>
        <w:ind w:left="5040" w:hanging="360"/>
      </w:pPr>
      <w:rPr>
        <w:rFonts w:ascii="Symbol" w:hAnsi="Symbol" w:hint="default"/>
      </w:rPr>
    </w:lvl>
    <w:lvl w:ilvl="7" w:tplc="8A4630CC">
      <w:start w:val="1"/>
      <w:numFmt w:val="bullet"/>
      <w:lvlText w:val="o"/>
      <w:lvlJc w:val="left"/>
      <w:pPr>
        <w:ind w:left="5760" w:hanging="360"/>
      </w:pPr>
      <w:rPr>
        <w:rFonts w:ascii="Courier New" w:hAnsi="Courier New" w:hint="default"/>
      </w:rPr>
    </w:lvl>
    <w:lvl w:ilvl="8" w:tplc="57ACFD70">
      <w:start w:val="1"/>
      <w:numFmt w:val="bullet"/>
      <w:lvlText w:val=""/>
      <w:lvlJc w:val="left"/>
      <w:pPr>
        <w:ind w:left="6480" w:hanging="360"/>
      </w:pPr>
      <w:rPr>
        <w:rFonts w:ascii="Wingdings" w:hAnsi="Wingdings" w:hint="default"/>
      </w:rPr>
    </w:lvl>
  </w:abstractNum>
  <w:abstractNum w:abstractNumId="4"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412A43"/>
    <w:multiLevelType w:val="hybridMultilevel"/>
    <w:tmpl w:val="B194FFEC"/>
    <w:lvl w:ilvl="0" w:tplc="91DC4BB0">
      <w:start w:val="1"/>
      <w:numFmt w:val="bullet"/>
      <w:lvlText w:val=""/>
      <w:lvlJc w:val="left"/>
      <w:pPr>
        <w:ind w:left="720" w:hanging="360"/>
      </w:pPr>
      <w:rPr>
        <w:rFonts w:ascii="Symbol" w:hAnsi="Symbol" w:hint="default"/>
      </w:rPr>
    </w:lvl>
    <w:lvl w:ilvl="1" w:tplc="F2566CD8">
      <w:start w:val="1"/>
      <w:numFmt w:val="bullet"/>
      <w:lvlText w:val="o"/>
      <w:lvlJc w:val="left"/>
      <w:pPr>
        <w:ind w:left="1440" w:hanging="360"/>
      </w:pPr>
      <w:rPr>
        <w:rFonts w:ascii="Courier New" w:hAnsi="Courier New" w:hint="default"/>
      </w:rPr>
    </w:lvl>
    <w:lvl w:ilvl="2" w:tplc="3A986692">
      <w:start w:val="1"/>
      <w:numFmt w:val="bullet"/>
      <w:lvlText w:val=""/>
      <w:lvlJc w:val="left"/>
      <w:pPr>
        <w:ind w:left="2160" w:hanging="360"/>
      </w:pPr>
      <w:rPr>
        <w:rFonts w:ascii="Wingdings" w:hAnsi="Wingdings" w:hint="default"/>
      </w:rPr>
    </w:lvl>
    <w:lvl w:ilvl="3" w:tplc="452E6D20">
      <w:start w:val="1"/>
      <w:numFmt w:val="bullet"/>
      <w:lvlText w:val=""/>
      <w:lvlJc w:val="left"/>
      <w:pPr>
        <w:ind w:left="2880" w:hanging="360"/>
      </w:pPr>
      <w:rPr>
        <w:rFonts w:ascii="Symbol" w:hAnsi="Symbol" w:hint="default"/>
      </w:rPr>
    </w:lvl>
    <w:lvl w:ilvl="4" w:tplc="DAEAEA1C">
      <w:start w:val="1"/>
      <w:numFmt w:val="bullet"/>
      <w:lvlText w:val="o"/>
      <w:lvlJc w:val="left"/>
      <w:pPr>
        <w:ind w:left="3600" w:hanging="360"/>
      </w:pPr>
      <w:rPr>
        <w:rFonts w:ascii="Courier New" w:hAnsi="Courier New" w:hint="default"/>
      </w:rPr>
    </w:lvl>
    <w:lvl w:ilvl="5" w:tplc="BA4EE328">
      <w:start w:val="1"/>
      <w:numFmt w:val="bullet"/>
      <w:lvlText w:val=""/>
      <w:lvlJc w:val="left"/>
      <w:pPr>
        <w:ind w:left="4320" w:hanging="360"/>
      </w:pPr>
      <w:rPr>
        <w:rFonts w:ascii="Wingdings" w:hAnsi="Wingdings" w:hint="default"/>
      </w:rPr>
    </w:lvl>
    <w:lvl w:ilvl="6" w:tplc="27A2DFC0">
      <w:start w:val="1"/>
      <w:numFmt w:val="bullet"/>
      <w:lvlText w:val=""/>
      <w:lvlJc w:val="left"/>
      <w:pPr>
        <w:ind w:left="5040" w:hanging="360"/>
      </w:pPr>
      <w:rPr>
        <w:rFonts w:ascii="Symbol" w:hAnsi="Symbol" w:hint="default"/>
      </w:rPr>
    </w:lvl>
    <w:lvl w:ilvl="7" w:tplc="4A76E214">
      <w:start w:val="1"/>
      <w:numFmt w:val="bullet"/>
      <w:lvlText w:val="o"/>
      <w:lvlJc w:val="left"/>
      <w:pPr>
        <w:ind w:left="5760" w:hanging="360"/>
      </w:pPr>
      <w:rPr>
        <w:rFonts w:ascii="Courier New" w:hAnsi="Courier New" w:hint="default"/>
      </w:rPr>
    </w:lvl>
    <w:lvl w:ilvl="8" w:tplc="97EEF724">
      <w:start w:val="1"/>
      <w:numFmt w:val="bullet"/>
      <w:lvlText w:val=""/>
      <w:lvlJc w:val="left"/>
      <w:pPr>
        <w:ind w:left="6480" w:hanging="360"/>
      </w:pPr>
      <w:rPr>
        <w:rFonts w:ascii="Wingdings" w:hAnsi="Wingdings" w:hint="default"/>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68EDE2"/>
    <w:multiLevelType w:val="hybridMultilevel"/>
    <w:tmpl w:val="B6C8C294"/>
    <w:lvl w:ilvl="0" w:tplc="60CE2940">
      <w:start w:val="1"/>
      <w:numFmt w:val="bullet"/>
      <w:lvlText w:val="·"/>
      <w:lvlJc w:val="left"/>
      <w:pPr>
        <w:ind w:left="720" w:hanging="360"/>
      </w:pPr>
      <w:rPr>
        <w:rFonts w:ascii="Symbol" w:hAnsi="Symbol" w:hint="default"/>
      </w:rPr>
    </w:lvl>
    <w:lvl w:ilvl="1" w:tplc="0900C010">
      <w:start w:val="1"/>
      <w:numFmt w:val="bullet"/>
      <w:lvlText w:val="o"/>
      <w:lvlJc w:val="left"/>
      <w:pPr>
        <w:ind w:left="1440" w:hanging="360"/>
      </w:pPr>
      <w:rPr>
        <w:rFonts w:ascii="Courier New" w:hAnsi="Courier New" w:hint="default"/>
      </w:rPr>
    </w:lvl>
    <w:lvl w:ilvl="2" w:tplc="B5DA13C2">
      <w:start w:val="1"/>
      <w:numFmt w:val="bullet"/>
      <w:lvlText w:val=""/>
      <w:lvlJc w:val="left"/>
      <w:pPr>
        <w:ind w:left="2160" w:hanging="360"/>
      </w:pPr>
      <w:rPr>
        <w:rFonts w:ascii="Wingdings" w:hAnsi="Wingdings" w:hint="default"/>
      </w:rPr>
    </w:lvl>
    <w:lvl w:ilvl="3" w:tplc="44DC08B2">
      <w:start w:val="1"/>
      <w:numFmt w:val="bullet"/>
      <w:lvlText w:val=""/>
      <w:lvlJc w:val="left"/>
      <w:pPr>
        <w:ind w:left="2880" w:hanging="360"/>
      </w:pPr>
      <w:rPr>
        <w:rFonts w:ascii="Symbol" w:hAnsi="Symbol" w:hint="default"/>
      </w:rPr>
    </w:lvl>
    <w:lvl w:ilvl="4" w:tplc="04D0F2D4">
      <w:start w:val="1"/>
      <w:numFmt w:val="bullet"/>
      <w:lvlText w:val="o"/>
      <w:lvlJc w:val="left"/>
      <w:pPr>
        <w:ind w:left="3600" w:hanging="360"/>
      </w:pPr>
      <w:rPr>
        <w:rFonts w:ascii="Courier New" w:hAnsi="Courier New" w:hint="default"/>
      </w:rPr>
    </w:lvl>
    <w:lvl w:ilvl="5" w:tplc="4024221E">
      <w:start w:val="1"/>
      <w:numFmt w:val="bullet"/>
      <w:lvlText w:val=""/>
      <w:lvlJc w:val="left"/>
      <w:pPr>
        <w:ind w:left="4320" w:hanging="360"/>
      </w:pPr>
      <w:rPr>
        <w:rFonts w:ascii="Wingdings" w:hAnsi="Wingdings" w:hint="default"/>
      </w:rPr>
    </w:lvl>
    <w:lvl w:ilvl="6" w:tplc="41B08DF4">
      <w:start w:val="1"/>
      <w:numFmt w:val="bullet"/>
      <w:lvlText w:val=""/>
      <w:lvlJc w:val="left"/>
      <w:pPr>
        <w:ind w:left="5040" w:hanging="360"/>
      </w:pPr>
      <w:rPr>
        <w:rFonts w:ascii="Symbol" w:hAnsi="Symbol" w:hint="default"/>
      </w:rPr>
    </w:lvl>
    <w:lvl w:ilvl="7" w:tplc="344CA5D6">
      <w:start w:val="1"/>
      <w:numFmt w:val="bullet"/>
      <w:lvlText w:val="o"/>
      <w:lvlJc w:val="left"/>
      <w:pPr>
        <w:ind w:left="5760" w:hanging="360"/>
      </w:pPr>
      <w:rPr>
        <w:rFonts w:ascii="Courier New" w:hAnsi="Courier New" w:hint="default"/>
      </w:rPr>
    </w:lvl>
    <w:lvl w:ilvl="8" w:tplc="8A8484D4">
      <w:start w:val="1"/>
      <w:numFmt w:val="bullet"/>
      <w:lvlText w:val=""/>
      <w:lvlJc w:val="left"/>
      <w:pPr>
        <w:ind w:left="6480" w:hanging="360"/>
      </w:pPr>
      <w:rPr>
        <w:rFonts w:ascii="Wingdings" w:hAnsi="Wingdings"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65535"/>
    <w:multiLevelType w:val="hybridMultilevel"/>
    <w:tmpl w:val="B816C44C"/>
    <w:lvl w:ilvl="0" w:tplc="3C96C492">
      <w:start w:val="1"/>
      <w:numFmt w:val="bullet"/>
      <w:lvlText w:val="·"/>
      <w:lvlJc w:val="left"/>
      <w:pPr>
        <w:ind w:left="720" w:hanging="360"/>
      </w:pPr>
      <w:rPr>
        <w:rFonts w:ascii="Symbol" w:hAnsi="Symbol" w:hint="default"/>
      </w:rPr>
    </w:lvl>
    <w:lvl w:ilvl="1" w:tplc="AE56C536">
      <w:start w:val="1"/>
      <w:numFmt w:val="bullet"/>
      <w:lvlText w:val="o"/>
      <w:lvlJc w:val="left"/>
      <w:pPr>
        <w:ind w:left="1440" w:hanging="360"/>
      </w:pPr>
      <w:rPr>
        <w:rFonts w:ascii="Courier New" w:hAnsi="Courier New" w:hint="default"/>
      </w:rPr>
    </w:lvl>
    <w:lvl w:ilvl="2" w:tplc="481CC230">
      <w:start w:val="1"/>
      <w:numFmt w:val="bullet"/>
      <w:lvlText w:val=""/>
      <w:lvlJc w:val="left"/>
      <w:pPr>
        <w:ind w:left="2160" w:hanging="360"/>
      </w:pPr>
      <w:rPr>
        <w:rFonts w:ascii="Wingdings" w:hAnsi="Wingdings" w:hint="default"/>
      </w:rPr>
    </w:lvl>
    <w:lvl w:ilvl="3" w:tplc="2982D848">
      <w:start w:val="1"/>
      <w:numFmt w:val="bullet"/>
      <w:lvlText w:val=""/>
      <w:lvlJc w:val="left"/>
      <w:pPr>
        <w:ind w:left="2880" w:hanging="360"/>
      </w:pPr>
      <w:rPr>
        <w:rFonts w:ascii="Symbol" w:hAnsi="Symbol" w:hint="default"/>
      </w:rPr>
    </w:lvl>
    <w:lvl w:ilvl="4" w:tplc="CF582342">
      <w:start w:val="1"/>
      <w:numFmt w:val="bullet"/>
      <w:lvlText w:val="o"/>
      <w:lvlJc w:val="left"/>
      <w:pPr>
        <w:ind w:left="3600" w:hanging="360"/>
      </w:pPr>
      <w:rPr>
        <w:rFonts w:ascii="Courier New" w:hAnsi="Courier New" w:hint="default"/>
      </w:rPr>
    </w:lvl>
    <w:lvl w:ilvl="5" w:tplc="F45C365A">
      <w:start w:val="1"/>
      <w:numFmt w:val="bullet"/>
      <w:lvlText w:val=""/>
      <w:lvlJc w:val="left"/>
      <w:pPr>
        <w:ind w:left="4320" w:hanging="360"/>
      </w:pPr>
      <w:rPr>
        <w:rFonts w:ascii="Wingdings" w:hAnsi="Wingdings" w:hint="default"/>
      </w:rPr>
    </w:lvl>
    <w:lvl w:ilvl="6" w:tplc="913C3208">
      <w:start w:val="1"/>
      <w:numFmt w:val="bullet"/>
      <w:lvlText w:val=""/>
      <w:lvlJc w:val="left"/>
      <w:pPr>
        <w:ind w:left="5040" w:hanging="360"/>
      </w:pPr>
      <w:rPr>
        <w:rFonts w:ascii="Symbol" w:hAnsi="Symbol" w:hint="default"/>
      </w:rPr>
    </w:lvl>
    <w:lvl w:ilvl="7" w:tplc="BB880264">
      <w:start w:val="1"/>
      <w:numFmt w:val="bullet"/>
      <w:lvlText w:val="o"/>
      <w:lvlJc w:val="left"/>
      <w:pPr>
        <w:ind w:left="5760" w:hanging="360"/>
      </w:pPr>
      <w:rPr>
        <w:rFonts w:ascii="Courier New" w:hAnsi="Courier New" w:hint="default"/>
      </w:rPr>
    </w:lvl>
    <w:lvl w:ilvl="8" w:tplc="19900E94">
      <w:start w:val="1"/>
      <w:numFmt w:val="bullet"/>
      <w:lvlText w:val=""/>
      <w:lvlJc w:val="left"/>
      <w:pPr>
        <w:ind w:left="6480" w:hanging="360"/>
      </w:pPr>
      <w:rPr>
        <w:rFonts w:ascii="Wingdings" w:hAnsi="Wingdings" w:hint="default"/>
      </w:rPr>
    </w:lvl>
  </w:abstractNum>
  <w:abstractNum w:abstractNumId="25"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8" w15:restartNumberingAfterBreak="0">
    <w:nsid w:val="6FCA58F8"/>
    <w:multiLevelType w:val="hybridMultilevel"/>
    <w:tmpl w:val="83ACBFDE"/>
    <w:lvl w:ilvl="0" w:tplc="92DEDAAC">
      <w:start w:val="2023"/>
      <w:numFmt w:val="bullet"/>
      <w:lvlText w:val="-"/>
      <w:lvlJc w:val="left"/>
      <w:pPr>
        <w:ind w:left="720" w:hanging="360"/>
      </w:pPr>
      <w:rPr>
        <w:rFonts w:ascii="Century Gothic" w:eastAsiaTheme="minorHAnsi" w:hAnsi="Century Gothic"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1"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5"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4"/>
  </w:num>
  <w:num w:numId="3">
    <w:abstractNumId w:val="17"/>
  </w:num>
  <w:num w:numId="4">
    <w:abstractNumId w:val="11"/>
  </w:num>
  <w:num w:numId="5">
    <w:abstractNumId w:val="34"/>
  </w:num>
  <w:num w:numId="6">
    <w:abstractNumId w:val="25"/>
  </w:num>
  <w:num w:numId="7">
    <w:abstractNumId w:val="4"/>
  </w:num>
  <w:num w:numId="8">
    <w:abstractNumId w:val="26"/>
  </w:num>
  <w:num w:numId="9">
    <w:abstractNumId w:val="6"/>
  </w:num>
  <w:num w:numId="10">
    <w:abstractNumId w:val="18"/>
  </w:num>
  <w:num w:numId="11">
    <w:abstractNumId w:val="20"/>
  </w:num>
  <w:num w:numId="12">
    <w:abstractNumId w:val="32"/>
  </w:num>
  <w:num w:numId="13">
    <w:abstractNumId w:val="19"/>
  </w:num>
  <w:num w:numId="14">
    <w:abstractNumId w:val="36"/>
  </w:num>
  <w:num w:numId="15">
    <w:abstractNumId w:val="33"/>
  </w:num>
  <w:num w:numId="16">
    <w:abstractNumId w:val="22"/>
  </w:num>
  <w:num w:numId="17">
    <w:abstractNumId w:val="29"/>
  </w:num>
  <w:num w:numId="18">
    <w:abstractNumId w:val="31"/>
  </w:num>
  <w:num w:numId="19">
    <w:abstractNumId w:val="9"/>
  </w:num>
  <w:num w:numId="20">
    <w:abstractNumId w:val="35"/>
  </w:num>
  <w:num w:numId="21">
    <w:abstractNumId w:val="2"/>
  </w:num>
  <w:num w:numId="22">
    <w:abstractNumId w:val="8"/>
  </w:num>
  <w:num w:numId="23">
    <w:abstractNumId w:val="0"/>
  </w:num>
  <w:num w:numId="24">
    <w:abstractNumId w:val="23"/>
  </w:num>
  <w:num w:numId="25">
    <w:abstractNumId w:val="13"/>
  </w:num>
  <w:num w:numId="26">
    <w:abstractNumId w:val="21"/>
  </w:num>
  <w:num w:numId="27">
    <w:abstractNumId w:val="16"/>
  </w:num>
  <w:num w:numId="28">
    <w:abstractNumId w:val="7"/>
  </w:num>
  <w:num w:numId="29">
    <w:abstractNumId w:val="15"/>
  </w:num>
  <w:num w:numId="30">
    <w:abstractNumId w:val="1"/>
  </w:num>
  <w:num w:numId="31">
    <w:abstractNumId w:val="10"/>
  </w:num>
  <w:num w:numId="32">
    <w:abstractNumId w:val="27"/>
  </w:num>
  <w:num w:numId="33">
    <w:abstractNumId w:val="28"/>
  </w:num>
  <w:num w:numId="34">
    <w:abstractNumId w:val="5"/>
  </w:num>
  <w:num w:numId="35">
    <w:abstractNumId w:val="12"/>
  </w:num>
  <w:num w:numId="36">
    <w:abstractNumId w:val="24"/>
  </w:num>
  <w:num w:numId="3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757"/>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2D5F"/>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75F"/>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5CF3"/>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A3E"/>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394BAB"/>
    <w:rsid w:val="00402D87"/>
    <w:rsid w:val="009E3435"/>
    <w:rsid w:val="00BD5EA4"/>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EA4"/>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2995</Words>
  <Characters>17354</Characters>
  <Application>Microsoft Office Word</Application>
  <DocSecurity>0</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20309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14</cp:revision>
  <cp:lastPrinted>2015-05-19T16:27:00Z</cp:lastPrinted>
  <dcterms:created xsi:type="dcterms:W3CDTF">2022-03-22T19:53:00Z</dcterms:created>
  <dcterms:modified xsi:type="dcterms:W3CDTF">2023-07-11T19:35:00Z</dcterms:modified>
</cp:coreProperties>
</file>