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5E1A41BB"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sdt>
                <w:sdtPr>
                  <w:rPr>
                    <w:rFonts w:asciiTheme="majorHAnsi" w:eastAsia="Calibri" w:hAnsiTheme="majorHAnsi" w:cstheme="majorHAnsi"/>
                    <w:b/>
                    <w:sz w:val="20"/>
                    <w:szCs w:val="16"/>
                  </w:rPr>
                  <w:alias w:val="Indicar Objeto de la Compra"/>
                  <w:tag w:val="Indicar Objeto de la Compra"/>
                  <w:id w:val="1052049711"/>
                  <w:placeholder>
                    <w:docPart w:val="3B978755EAE941988828A4A757A1944B"/>
                  </w:placeholder>
                </w:sdtPr>
                <w:sdtEndPr>
                  <w:rPr>
                    <w:b w:val="0"/>
                    <w:sz w:val="24"/>
                    <w:szCs w:val="24"/>
                  </w:rPr>
                </w:sdtEndPr>
                <w:sdtContent>
                  <w:r w:rsidR="009368D4" w:rsidRPr="00EF65D3">
                    <w:rPr>
                      <w:rFonts w:asciiTheme="majorHAnsi" w:eastAsia="Calibri" w:hAnsiTheme="majorHAnsi" w:cstheme="majorHAnsi"/>
                      <w:b/>
                    </w:rPr>
                    <w:t>Contratación de Firma para Auditoría Externa</w:t>
                  </w:r>
                </w:sdtContent>
              </w:sdt>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3AFFD84A"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526F72" w:rsidRPr="005C3607">
        <w:rPr>
          <w:rFonts w:asciiTheme="minorHAnsi" w:hAnsiTheme="minorHAnsi" w:cstheme="minorHAnsi"/>
        </w:rPr>
        <w:t>veint</w:t>
      </w:r>
      <w:r w:rsidR="00526F72">
        <w:rPr>
          <w:rFonts w:asciiTheme="minorHAnsi" w:hAnsiTheme="minorHAnsi" w:cstheme="minorHAnsi"/>
        </w:rPr>
        <w:t>itrés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9368D4" w:rsidRPr="009368D4">
                <w:rPr>
                  <w:rFonts w:asciiTheme="majorHAnsi" w:eastAsia="Calibri" w:hAnsiTheme="majorHAnsi" w:cstheme="majorHAnsi"/>
                  <w:b/>
                  <w:bCs/>
                  <w:lang w:val="es-ES"/>
                </w:rPr>
                <w:t>Contratación de Firma para Auditoría Externa</w:t>
              </w:r>
              <w:r w:rsidR="00C54A42">
                <w:rPr>
                  <w:rFonts w:asciiTheme="majorHAnsi" w:eastAsia="Calibri" w:hAnsiTheme="majorHAnsi" w:cstheme="majorHAnsi"/>
                  <w:b/>
                  <w:bCs/>
                  <w:lang w:val="es-ES"/>
                </w:rPr>
                <w:t>.</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E5D4CAB"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C54A42">
        <w:rPr>
          <w:rFonts w:asciiTheme="minorHAnsi" w:hAnsiTheme="minorHAnsi" w:cstheme="minorHAnsi"/>
          <w:b/>
          <w:bCs/>
        </w:rPr>
        <w:t>3</w:t>
      </w:r>
      <w:r w:rsidR="00F3638A" w:rsidRPr="00F3638A">
        <w:rPr>
          <w:rFonts w:asciiTheme="minorHAnsi" w:hAnsiTheme="minorHAnsi" w:cstheme="minorHAnsi"/>
          <w:b/>
          <w:bCs/>
        </w:rPr>
        <w:t>-00</w:t>
      </w:r>
      <w:r w:rsidR="00C54A42">
        <w:rPr>
          <w:rFonts w:asciiTheme="minorHAnsi" w:hAnsiTheme="minorHAnsi" w:cstheme="minorHAnsi"/>
          <w:b/>
          <w:bCs/>
        </w:rPr>
        <w:t>1</w:t>
      </w:r>
      <w:r w:rsidR="009368D4">
        <w:rPr>
          <w:rFonts w:asciiTheme="minorHAnsi" w:hAnsiTheme="minorHAnsi" w:cstheme="minorHAnsi"/>
          <w:b/>
          <w:bCs/>
        </w:rPr>
        <w:t>8</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9C90C6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w:t>
      </w:r>
      <w:r w:rsidR="00526F72">
        <w:rPr>
          <w:rFonts w:asciiTheme="minorHAnsi" w:hAnsiTheme="minorHAnsi" w:cstheme="minorHAnsi"/>
          <w:color w:val="000000" w:themeColor="text1"/>
        </w:rPr>
        <w:t>trés</w:t>
      </w:r>
      <w:r w:rsidR="00A84424" w:rsidRPr="005C3607">
        <w:rPr>
          <w:rFonts w:asciiTheme="minorHAnsi" w:hAnsiTheme="minorHAnsi" w:cstheme="minorHAnsi"/>
          <w:color w:val="000000" w:themeColor="text1"/>
        </w:rPr>
        <w:t xml:space="preserve"> (202</w:t>
      </w:r>
      <w:r w:rsidR="00526F72">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4B7428A6"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w:t>
      </w:r>
      <w:r w:rsidR="00526F72">
        <w:rPr>
          <w:rFonts w:asciiTheme="minorHAnsi" w:hAnsiTheme="minorHAnsi" w:cstheme="minorHAnsi"/>
          <w:color w:val="000000" w:themeColor="text1"/>
          <w:lang w:val="es-ES" w:eastAsia="en-US"/>
        </w:rPr>
        <w:t>trés</w:t>
      </w:r>
      <w:r w:rsidRPr="008F25C1">
        <w:rPr>
          <w:rFonts w:asciiTheme="minorHAnsi" w:hAnsiTheme="minorHAnsi" w:cstheme="minorHAnsi"/>
          <w:color w:val="000000" w:themeColor="text1"/>
          <w:lang w:val="es-ES" w:eastAsia="en-US"/>
        </w:rPr>
        <w:t xml:space="preserve"> (202</w:t>
      </w:r>
      <w:r w:rsidR="00526F72">
        <w:rPr>
          <w:rFonts w:asciiTheme="minorHAnsi" w:hAnsiTheme="minorHAnsi" w:cstheme="minorHAnsi"/>
          <w:color w:val="000000" w:themeColor="text1"/>
          <w:lang w:val="es-ES" w:eastAsia="en-US"/>
        </w:rPr>
        <w:t>3</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6008E6BA"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526F72">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9368D4" w:rsidRPr="009368D4">
                <w:rPr>
                  <w:rFonts w:asciiTheme="majorHAnsi" w:eastAsia="Calibri" w:hAnsiTheme="majorHAnsi" w:cstheme="majorHAnsi"/>
                  <w:b/>
                  <w:bCs/>
                  <w:lang w:val="es-ES"/>
                </w:rPr>
                <w:t>Contratación de Firma para Auditoría Externa</w:t>
              </w:r>
            </w:sdtContent>
          </w:sdt>
        </w:sdtContent>
      </w:sdt>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4D579FAE"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w:t>
      </w:r>
      <w:r w:rsidR="00526F72">
        <w:rPr>
          <w:rFonts w:asciiTheme="minorHAnsi" w:hAnsiTheme="minorHAnsi" w:cstheme="minorHAnsi"/>
        </w:rPr>
        <w:t>trés</w:t>
      </w:r>
      <w:r w:rsidRPr="005C3607">
        <w:rPr>
          <w:rFonts w:asciiTheme="minorHAnsi" w:hAnsiTheme="minorHAnsi" w:cstheme="minorHAnsi"/>
        </w:rPr>
        <w:t xml:space="preserve"> (202</w:t>
      </w:r>
      <w:r w:rsidR="00526F72">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3AA0C06C"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526F72" w:rsidRPr="009F2D26">
        <w:rPr>
          <w:rFonts w:asciiTheme="minorHAnsi" w:hAnsiTheme="minorHAnsi" w:cstheme="minorHAnsi"/>
        </w:rPr>
        <w:t>veinti</w:t>
      </w:r>
      <w:r w:rsidR="00526F72">
        <w:rPr>
          <w:rFonts w:asciiTheme="minorHAnsi" w:hAnsiTheme="minorHAnsi" w:cstheme="minorHAnsi"/>
        </w:rPr>
        <w:t>tr</w:t>
      </w:r>
      <w:r w:rsidR="00526F72">
        <w:rPr>
          <w:rFonts w:ascii="Arial" w:hAnsi="Arial" w:cs="Arial"/>
        </w:rPr>
        <w:t>és</w:t>
      </w:r>
      <w:r w:rsidRPr="009F2D26">
        <w:rPr>
          <w:rFonts w:asciiTheme="minorHAnsi" w:hAnsiTheme="minorHAnsi" w:cstheme="minorHAnsi"/>
        </w:rPr>
        <w:t xml:space="preserve"> (202</w:t>
      </w:r>
      <w:r w:rsidR="00526F72">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E394651"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por medio del presente Contrato se compromete a</w:t>
      </w:r>
      <w:r w:rsidR="00526F72">
        <w:rPr>
          <w:rFonts w:asciiTheme="minorHAnsi" w:hAnsiTheme="minorHAnsi" w:cs="Calibri"/>
          <w:color w:val="000000"/>
          <w:lang w:val="es-DO"/>
        </w:rPr>
        <w:t xml:space="preserve">                                   </w:t>
      </w:r>
      <w:r w:rsidR="004D62BD">
        <w:rPr>
          <w:rFonts w:asciiTheme="minorHAnsi" w:hAnsiTheme="minorHAnsi" w:cs="Calibri"/>
          <w:color w:val="000000"/>
          <w:lang w:val="es-DO"/>
        </w:rPr>
        <w:t xml:space="preserve">,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7D24CE65" w14:textId="6F53B100" w:rsidR="00425A95" w:rsidRDefault="00425A95" w:rsidP="00425A95">
      <w:pPr>
        <w:tabs>
          <w:tab w:val="left" w:pos="450"/>
        </w:tabs>
        <w:spacing w:after="200"/>
        <w:contextualSpacing/>
        <w:jc w:val="both"/>
        <w:rPr>
          <w:rFonts w:ascii="Century Gothic" w:hAnsi="Century Gothic" w:cstheme="majorHAnsi"/>
          <w:b/>
          <w:bCs/>
          <w:sz w:val="20"/>
          <w:szCs w:val="20"/>
          <w:u w:val="single"/>
        </w:rPr>
      </w:pPr>
    </w:p>
    <w:p w14:paraId="1B1CF913" w14:textId="77777777" w:rsidR="0010699F" w:rsidRPr="008D55A4" w:rsidRDefault="0010699F" w:rsidP="0010699F">
      <w:pPr>
        <w:jc w:val="both"/>
        <w:rPr>
          <w:rFonts w:ascii="Century Gothic" w:hAnsi="Century Gothic"/>
          <w:sz w:val="22"/>
          <w:szCs w:val="22"/>
        </w:rPr>
      </w:pPr>
      <w:r w:rsidRPr="008D55A4">
        <w:rPr>
          <w:rFonts w:ascii="Century Gothic" w:hAnsi="Century Gothic"/>
          <w:sz w:val="22"/>
          <w:szCs w:val="22"/>
        </w:rPr>
        <w:t>Los objetivos específicos que se requiere para esta auditoría externa son los siguientes:</w:t>
      </w:r>
    </w:p>
    <w:p w14:paraId="418C189B" w14:textId="77777777" w:rsidR="0010699F" w:rsidRPr="008D55A4" w:rsidRDefault="0010699F" w:rsidP="0010699F">
      <w:pPr>
        <w:jc w:val="both"/>
        <w:rPr>
          <w:rFonts w:ascii="Century Gothic" w:hAnsi="Century Gothic"/>
          <w:sz w:val="22"/>
          <w:szCs w:val="22"/>
        </w:rPr>
      </w:pPr>
    </w:p>
    <w:p w14:paraId="3698CFD2" w14:textId="77777777" w:rsidR="0010699F" w:rsidRPr="008D55A4" w:rsidRDefault="0010699F" w:rsidP="0010699F">
      <w:pPr>
        <w:pStyle w:val="ListParagraph"/>
        <w:spacing w:after="160" w:line="259" w:lineRule="auto"/>
        <w:jc w:val="both"/>
        <w:rPr>
          <w:rFonts w:ascii="Century Gothic" w:hAnsi="Century Gothic"/>
          <w:sz w:val="22"/>
          <w:szCs w:val="22"/>
        </w:rPr>
      </w:pPr>
      <w:r w:rsidRPr="008D55A4">
        <w:rPr>
          <w:rFonts w:ascii="Century Gothic" w:hAnsi="Century Gothic"/>
          <w:sz w:val="22"/>
          <w:szCs w:val="22"/>
        </w:rPr>
        <w:t xml:space="preserve">Expresar su </w:t>
      </w:r>
      <w:r w:rsidRPr="008D55A4">
        <w:rPr>
          <w:rFonts w:ascii="Century Gothic" w:hAnsi="Century Gothic"/>
          <w:color w:val="000000" w:themeColor="text1"/>
          <w:sz w:val="22"/>
          <w:szCs w:val="22"/>
        </w:rPr>
        <w:t xml:space="preserve">opinión sobre la razonabilidad de la presentación de los Estados Financieros del Régimen Contributivo, Contributivo-Subsidiado </w:t>
      </w:r>
      <w:r w:rsidRPr="008D55A4">
        <w:rPr>
          <w:rFonts w:ascii="Century Gothic" w:hAnsi="Century Gothic"/>
          <w:sz w:val="22"/>
          <w:szCs w:val="22"/>
        </w:rPr>
        <w:t xml:space="preserve">y Subsidiado del Sistema Dominicano de Seguridad Social y de los recursos recibidos del Estado Dominicano para el pago de la seguridad social de las instituciones, que se ejecutan a través de la TSS y los flujos de efectivo al 31 de diciembre del 2022, de conformidad con las prácticas contables aplicadas a las  instituciones de seguridad social, principios contables de negocio en marcha, por disposiciones establecidas en la Ley 87-01 y sus modificaciones incluyendo la Ley 13-20, por el Consejo Nacional de Seguridad Social y del Sistema Dominicano de Seguridad Social la República Dominicana. </w:t>
      </w:r>
    </w:p>
    <w:p w14:paraId="1F697924" w14:textId="77777777" w:rsidR="0010699F" w:rsidRPr="008D55A4" w:rsidRDefault="0010699F" w:rsidP="0010699F">
      <w:pPr>
        <w:pStyle w:val="ListParagraph"/>
        <w:numPr>
          <w:ilvl w:val="0"/>
          <w:numId w:val="42"/>
        </w:numPr>
        <w:spacing w:after="160" w:line="259" w:lineRule="auto"/>
        <w:jc w:val="both"/>
        <w:rPr>
          <w:rFonts w:ascii="Century Gothic" w:hAnsi="Century Gothic"/>
          <w:sz w:val="22"/>
          <w:szCs w:val="22"/>
        </w:rPr>
      </w:pPr>
      <w:r w:rsidRPr="008D55A4">
        <w:rPr>
          <w:rFonts w:ascii="Century Gothic" w:hAnsi="Century Gothic"/>
          <w:sz w:val="22"/>
          <w:szCs w:val="22"/>
        </w:rPr>
        <w:t>Informar si existen operaciones financieras contrarias a la naturaleza de las actividades que la Entidad realiza, de sus estatutos orgánicos, resoluciones y otras normativas que le sean aplicables.</w:t>
      </w:r>
    </w:p>
    <w:p w14:paraId="2C59295B" w14:textId="77777777" w:rsidR="0010699F" w:rsidRPr="008D55A4" w:rsidRDefault="0010699F" w:rsidP="0010699F">
      <w:pPr>
        <w:pStyle w:val="ListParagraph"/>
        <w:numPr>
          <w:ilvl w:val="0"/>
          <w:numId w:val="42"/>
        </w:numPr>
        <w:contextualSpacing w:val="0"/>
        <w:jc w:val="both"/>
        <w:rPr>
          <w:rFonts w:ascii="Century Gothic" w:hAnsi="Century Gothic" w:cs="Calibri"/>
          <w:bCs/>
          <w:sz w:val="22"/>
          <w:szCs w:val="22"/>
        </w:rPr>
      </w:pPr>
      <w:r w:rsidRPr="008D55A4">
        <w:rPr>
          <w:rFonts w:ascii="Century Gothic" w:hAnsi="Century Gothic"/>
          <w:sz w:val="22"/>
          <w:szCs w:val="22"/>
        </w:rPr>
        <w:t>Evaluar el Sistema de Control Interno, y r</w:t>
      </w:r>
      <w:r w:rsidRPr="008D55A4">
        <w:rPr>
          <w:rFonts w:ascii="Century Gothic" w:hAnsi="Century Gothic" w:cs="Calibri"/>
          <w:bCs/>
          <w:sz w:val="22"/>
          <w:szCs w:val="22"/>
        </w:rPr>
        <w:t xml:space="preserve">evisar la confiabilidad e integridad de la información financiera y los medios utilizados para clasificar y reportar dichas informaciones en los estados financieros, de acuerdo con los componentes establecidos en las Normas Básicas de Control Interno: </w:t>
      </w:r>
    </w:p>
    <w:p w14:paraId="73944246" w14:textId="77777777" w:rsidR="0010699F" w:rsidRPr="008D55A4" w:rsidRDefault="0010699F" w:rsidP="0010699F">
      <w:pPr>
        <w:pStyle w:val="ListParagraph"/>
        <w:jc w:val="both"/>
        <w:rPr>
          <w:rFonts w:ascii="Century Gothic" w:hAnsi="Century Gothic" w:cs="Calibri"/>
          <w:bCs/>
          <w:sz w:val="22"/>
          <w:szCs w:val="22"/>
        </w:rPr>
      </w:pPr>
    </w:p>
    <w:p w14:paraId="19BF7CCE" w14:textId="77777777" w:rsidR="0010699F" w:rsidRPr="008D55A4" w:rsidRDefault="0010699F" w:rsidP="0010699F">
      <w:pPr>
        <w:pStyle w:val="ListParagraph"/>
        <w:widowControl w:val="0"/>
        <w:numPr>
          <w:ilvl w:val="0"/>
          <w:numId w:val="43"/>
        </w:numPr>
        <w:adjustRightInd w:val="0"/>
        <w:contextualSpacing w:val="0"/>
        <w:jc w:val="both"/>
        <w:textAlignment w:val="baseline"/>
        <w:rPr>
          <w:rFonts w:ascii="Century Gothic" w:hAnsi="Century Gothic" w:cs="Calibri"/>
          <w:bCs/>
          <w:sz w:val="22"/>
          <w:szCs w:val="22"/>
        </w:rPr>
      </w:pPr>
      <w:r w:rsidRPr="008D55A4">
        <w:rPr>
          <w:rFonts w:ascii="Century Gothic" w:hAnsi="Century Gothic" w:cs="Calibri"/>
          <w:bCs/>
          <w:sz w:val="22"/>
          <w:szCs w:val="22"/>
        </w:rPr>
        <w:t>Ambiente de Control</w:t>
      </w:r>
    </w:p>
    <w:p w14:paraId="6223AA99" w14:textId="77777777" w:rsidR="0010699F" w:rsidRPr="008D55A4" w:rsidRDefault="0010699F" w:rsidP="0010699F">
      <w:pPr>
        <w:pStyle w:val="ListParagraph"/>
        <w:widowControl w:val="0"/>
        <w:numPr>
          <w:ilvl w:val="0"/>
          <w:numId w:val="43"/>
        </w:numPr>
        <w:adjustRightInd w:val="0"/>
        <w:contextualSpacing w:val="0"/>
        <w:jc w:val="both"/>
        <w:textAlignment w:val="baseline"/>
        <w:rPr>
          <w:rFonts w:ascii="Century Gothic" w:hAnsi="Century Gothic" w:cs="Calibri"/>
          <w:bCs/>
          <w:sz w:val="22"/>
          <w:szCs w:val="22"/>
        </w:rPr>
      </w:pPr>
      <w:r w:rsidRPr="008D55A4">
        <w:rPr>
          <w:rFonts w:ascii="Century Gothic" w:hAnsi="Century Gothic" w:cs="Calibri"/>
          <w:bCs/>
          <w:sz w:val="22"/>
          <w:szCs w:val="22"/>
        </w:rPr>
        <w:t>Valoración y Administración de Riesgos</w:t>
      </w:r>
    </w:p>
    <w:p w14:paraId="0D549F87" w14:textId="77777777" w:rsidR="0010699F" w:rsidRPr="008D55A4" w:rsidRDefault="0010699F" w:rsidP="0010699F">
      <w:pPr>
        <w:pStyle w:val="ListParagraph"/>
        <w:widowControl w:val="0"/>
        <w:numPr>
          <w:ilvl w:val="0"/>
          <w:numId w:val="43"/>
        </w:numPr>
        <w:adjustRightInd w:val="0"/>
        <w:contextualSpacing w:val="0"/>
        <w:jc w:val="both"/>
        <w:textAlignment w:val="baseline"/>
        <w:rPr>
          <w:rFonts w:ascii="Century Gothic" w:hAnsi="Century Gothic" w:cs="Calibri"/>
          <w:bCs/>
          <w:sz w:val="22"/>
          <w:szCs w:val="22"/>
        </w:rPr>
      </w:pPr>
      <w:r w:rsidRPr="008D55A4">
        <w:rPr>
          <w:rFonts w:ascii="Century Gothic" w:hAnsi="Century Gothic" w:cs="Calibri"/>
          <w:bCs/>
          <w:sz w:val="22"/>
          <w:szCs w:val="22"/>
        </w:rPr>
        <w:t>Actividades de Control</w:t>
      </w:r>
    </w:p>
    <w:p w14:paraId="0278BFC2" w14:textId="77777777" w:rsidR="0010699F" w:rsidRPr="008D55A4" w:rsidRDefault="0010699F" w:rsidP="0010699F">
      <w:pPr>
        <w:pStyle w:val="ListParagraph"/>
        <w:widowControl w:val="0"/>
        <w:numPr>
          <w:ilvl w:val="0"/>
          <w:numId w:val="43"/>
        </w:numPr>
        <w:adjustRightInd w:val="0"/>
        <w:contextualSpacing w:val="0"/>
        <w:jc w:val="both"/>
        <w:textAlignment w:val="baseline"/>
        <w:rPr>
          <w:rFonts w:ascii="Century Gothic" w:hAnsi="Century Gothic" w:cs="Calibri"/>
          <w:bCs/>
          <w:sz w:val="22"/>
          <w:szCs w:val="22"/>
        </w:rPr>
      </w:pPr>
      <w:r w:rsidRPr="008D55A4">
        <w:rPr>
          <w:rFonts w:ascii="Century Gothic" w:hAnsi="Century Gothic" w:cs="Calibri"/>
          <w:bCs/>
          <w:sz w:val="22"/>
          <w:szCs w:val="22"/>
        </w:rPr>
        <w:t>Información y comunicación</w:t>
      </w:r>
    </w:p>
    <w:p w14:paraId="6D61346A" w14:textId="77777777" w:rsidR="0010699F" w:rsidRPr="008D55A4" w:rsidRDefault="0010699F" w:rsidP="0010699F">
      <w:pPr>
        <w:pStyle w:val="ListParagraph"/>
        <w:widowControl w:val="0"/>
        <w:numPr>
          <w:ilvl w:val="0"/>
          <w:numId w:val="43"/>
        </w:numPr>
        <w:adjustRightInd w:val="0"/>
        <w:contextualSpacing w:val="0"/>
        <w:jc w:val="both"/>
        <w:textAlignment w:val="baseline"/>
        <w:rPr>
          <w:rFonts w:ascii="Century Gothic" w:hAnsi="Century Gothic" w:cs="Calibri"/>
          <w:bCs/>
          <w:sz w:val="22"/>
          <w:szCs w:val="22"/>
        </w:rPr>
      </w:pPr>
      <w:r w:rsidRPr="008D55A4">
        <w:rPr>
          <w:rFonts w:ascii="Century Gothic" w:hAnsi="Century Gothic" w:cs="Calibri"/>
          <w:bCs/>
          <w:sz w:val="22"/>
          <w:szCs w:val="22"/>
        </w:rPr>
        <w:t xml:space="preserve">Monitoreo y Evaluación </w:t>
      </w:r>
    </w:p>
    <w:p w14:paraId="4524B687" w14:textId="77777777" w:rsidR="0010699F" w:rsidRPr="008D55A4" w:rsidRDefault="0010699F" w:rsidP="0010699F">
      <w:pPr>
        <w:pStyle w:val="ListParagraph"/>
        <w:widowControl w:val="0"/>
        <w:adjustRightInd w:val="0"/>
        <w:ind w:left="1428"/>
        <w:jc w:val="both"/>
        <w:textAlignment w:val="baseline"/>
        <w:rPr>
          <w:rFonts w:ascii="Century Gothic" w:hAnsi="Century Gothic" w:cs="Calibri"/>
          <w:bCs/>
          <w:sz w:val="22"/>
          <w:szCs w:val="22"/>
        </w:rPr>
      </w:pPr>
    </w:p>
    <w:p w14:paraId="2C7B38BA" w14:textId="77777777" w:rsidR="0010699F" w:rsidRPr="008D55A4" w:rsidRDefault="0010699F" w:rsidP="0010699F">
      <w:pPr>
        <w:pStyle w:val="ListParagraph"/>
        <w:spacing w:after="160" w:line="259" w:lineRule="auto"/>
        <w:jc w:val="both"/>
        <w:rPr>
          <w:rFonts w:ascii="Century Gothic" w:hAnsi="Century Gothic"/>
          <w:sz w:val="22"/>
          <w:szCs w:val="22"/>
        </w:rPr>
      </w:pPr>
      <w:r w:rsidRPr="008D55A4">
        <w:rPr>
          <w:rFonts w:ascii="Century Gothic" w:hAnsi="Century Gothic"/>
          <w:sz w:val="22"/>
          <w:szCs w:val="22"/>
        </w:rPr>
        <w:t>Presentando la citada evaluación en la Carta a la Gerencia.</w:t>
      </w:r>
    </w:p>
    <w:p w14:paraId="0E3C0FB0" w14:textId="77777777" w:rsidR="0010699F" w:rsidRPr="008D55A4" w:rsidRDefault="0010699F" w:rsidP="0010699F">
      <w:pPr>
        <w:pStyle w:val="ListParagraph"/>
        <w:jc w:val="both"/>
        <w:rPr>
          <w:rFonts w:ascii="Century Gothic" w:hAnsi="Century Gothic"/>
          <w:sz w:val="22"/>
          <w:szCs w:val="22"/>
        </w:rPr>
      </w:pPr>
    </w:p>
    <w:p w14:paraId="31329DCB" w14:textId="77777777" w:rsidR="0010699F" w:rsidRPr="008D55A4" w:rsidRDefault="0010699F" w:rsidP="0010699F">
      <w:pPr>
        <w:pStyle w:val="ListParagraph"/>
        <w:numPr>
          <w:ilvl w:val="0"/>
          <w:numId w:val="42"/>
        </w:numPr>
        <w:spacing w:after="160" w:line="259" w:lineRule="auto"/>
        <w:jc w:val="both"/>
        <w:rPr>
          <w:rFonts w:ascii="Century Gothic" w:hAnsi="Century Gothic"/>
          <w:sz w:val="22"/>
          <w:szCs w:val="22"/>
        </w:rPr>
      </w:pPr>
      <w:r w:rsidRPr="008D55A4">
        <w:rPr>
          <w:rFonts w:ascii="Century Gothic" w:hAnsi="Century Gothic"/>
          <w:sz w:val="22"/>
          <w:szCs w:val="22"/>
        </w:rPr>
        <w:t>Verificar el cumplimiento de las leyes, reglamentos, normas y resoluciones aplicables a la entidad. Para esto los auditores deben realizar una evaluación de los riesgos de errores materiales en los estados financieros, debido a fraude o error, y realizar procedimientos de auditoría para responder a esos riesgos y obtener evidencia de auditoría suficiente y apropiada para proporcionar una base para su opinión.</w:t>
      </w:r>
    </w:p>
    <w:p w14:paraId="7DDC39D4" w14:textId="77777777" w:rsidR="0010699F" w:rsidRPr="008D55A4" w:rsidRDefault="0010699F" w:rsidP="0010699F">
      <w:pPr>
        <w:pStyle w:val="ListParagraph"/>
        <w:jc w:val="both"/>
        <w:rPr>
          <w:rFonts w:ascii="Century Gothic" w:hAnsi="Century Gothic"/>
          <w:sz w:val="22"/>
          <w:szCs w:val="22"/>
        </w:rPr>
      </w:pPr>
    </w:p>
    <w:p w14:paraId="04A365FE" w14:textId="77777777" w:rsidR="0010699F" w:rsidRPr="008D55A4" w:rsidRDefault="0010699F" w:rsidP="0010699F">
      <w:pPr>
        <w:pStyle w:val="ListParagraph"/>
        <w:spacing w:after="160" w:line="259" w:lineRule="auto"/>
        <w:jc w:val="both"/>
        <w:rPr>
          <w:rFonts w:ascii="Century Gothic" w:hAnsi="Century Gothic"/>
          <w:sz w:val="22"/>
          <w:szCs w:val="22"/>
          <w:highlight w:val="yellow"/>
        </w:rPr>
      </w:pPr>
    </w:p>
    <w:p w14:paraId="24F20C3C" w14:textId="71D38C33" w:rsidR="0010699F" w:rsidRPr="0010699F" w:rsidRDefault="0010699F" w:rsidP="0010699F">
      <w:pPr>
        <w:pStyle w:val="ListParagraph"/>
        <w:numPr>
          <w:ilvl w:val="0"/>
          <w:numId w:val="42"/>
        </w:numPr>
        <w:spacing w:after="160" w:line="259" w:lineRule="auto"/>
        <w:jc w:val="both"/>
        <w:rPr>
          <w:rFonts w:ascii="Century Gothic" w:hAnsi="Century Gothic"/>
          <w:sz w:val="22"/>
          <w:szCs w:val="22"/>
        </w:rPr>
      </w:pPr>
      <w:r w:rsidRPr="008D55A4">
        <w:rPr>
          <w:rFonts w:ascii="Century Gothic" w:hAnsi="Century Gothic"/>
          <w:sz w:val="22"/>
          <w:szCs w:val="22"/>
        </w:rPr>
        <w:t>Evaluar lo adecuado de las políticas contables utilizadas y la razonabilidad de las estimaciones contables y revelaciones relacionadas efectuadas por la administración.</w:t>
      </w:r>
    </w:p>
    <w:p w14:paraId="74CC31D6" w14:textId="77777777" w:rsidR="0010699F" w:rsidRPr="008D55A4" w:rsidRDefault="0010699F" w:rsidP="0010699F">
      <w:pPr>
        <w:jc w:val="both"/>
        <w:rPr>
          <w:rFonts w:ascii="Century Gothic" w:hAnsi="Century Gothic"/>
          <w:sz w:val="22"/>
          <w:szCs w:val="22"/>
        </w:rPr>
      </w:pPr>
    </w:p>
    <w:p w14:paraId="58A0C8FD" w14:textId="77777777" w:rsidR="0010699F" w:rsidRPr="008D55A4" w:rsidRDefault="0010699F" w:rsidP="0010699F">
      <w:pPr>
        <w:pStyle w:val="ListParagraph"/>
        <w:numPr>
          <w:ilvl w:val="0"/>
          <w:numId w:val="41"/>
        </w:numPr>
        <w:spacing w:after="160" w:line="259" w:lineRule="auto"/>
        <w:jc w:val="both"/>
        <w:rPr>
          <w:rFonts w:ascii="Century Gothic" w:hAnsi="Century Gothic"/>
          <w:b/>
          <w:bCs/>
          <w:sz w:val="22"/>
          <w:szCs w:val="22"/>
        </w:rPr>
      </w:pPr>
      <w:r w:rsidRPr="008D55A4">
        <w:rPr>
          <w:rFonts w:ascii="Century Gothic" w:hAnsi="Century Gothic"/>
          <w:b/>
          <w:bCs/>
          <w:sz w:val="22"/>
          <w:szCs w:val="22"/>
        </w:rPr>
        <w:t>REQUERIMIENTOS AUDITORIA</w:t>
      </w:r>
    </w:p>
    <w:p w14:paraId="2B4B81A1" w14:textId="77777777" w:rsidR="0010699F" w:rsidRPr="008D55A4" w:rsidRDefault="0010699F" w:rsidP="0010699F">
      <w:pPr>
        <w:jc w:val="both"/>
        <w:rPr>
          <w:rFonts w:ascii="Century Gothic" w:hAnsi="Century Gothic"/>
          <w:sz w:val="22"/>
          <w:szCs w:val="22"/>
        </w:rPr>
      </w:pPr>
      <w:r w:rsidRPr="008D55A4">
        <w:rPr>
          <w:rFonts w:ascii="Century Gothic" w:hAnsi="Century Gothic"/>
          <w:sz w:val="22"/>
          <w:szCs w:val="22"/>
        </w:rPr>
        <w:t>La Oferta Técnica debe contener por lo menos las siguientes secciones:</w:t>
      </w:r>
    </w:p>
    <w:p w14:paraId="0AB8D0AA" w14:textId="77777777" w:rsidR="0010699F" w:rsidRPr="008D55A4" w:rsidRDefault="0010699F" w:rsidP="0010699F">
      <w:pPr>
        <w:jc w:val="both"/>
        <w:rPr>
          <w:rFonts w:ascii="Century Gothic" w:hAnsi="Century Gothic"/>
          <w:sz w:val="22"/>
          <w:szCs w:val="22"/>
        </w:rPr>
      </w:pPr>
    </w:p>
    <w:p w14:paraId="6F29AEB2" w14:textId="77777777" w:rsidR="0010699F" w:rsidRPr="008D55A4" w:rsidRDefault="0010699F" w:rsidP="0010699F">
      <w:pPr>
        <w:pStyle w:val="ListParagraph"/>
        <w:numPr>
          <w:ilvl w:val="0"/>
          <w:numId w:val="44"/>
        </w:numPr>
        <w:spacing w:line="259" w:lineRule="auto"/>
        <w:jc w:val="both"/>
        <w:rPr>
          <w:rFonts w:ascii="Century Gothic" w:hAnsi="Century Gothic"/>
          <w:sz w:val="22"/>
          <w:szCs w:val="22"/>
        </w:rPr>
      </w:pPr>
      <w:r w:rsidRPr="008D55A4">
        <w:rPr>
          <w:rFonts w:ascii="Century Gothic" w:hAnsi="Century Gothic"/>
          <w:sz w:val="22"/>
          <w:szCs w:val="22"/>
        </w:rPr>
        <w:t>Objetivos de la auditoría.</w:t>
      </w:r>
    </w:p>
    <w:p w14:paraId="2D1FD18F" w14:textId="77777777" w:rsidR="0010699F" w:rsidRPr="008D55A4" w:rsidRDefault="0010699F" w:rsidP="0010699F">
      <w:pPr>
        <w:pStyle w:val="ListParagraph"/>
        <w:numPr>
          <w:ilvl w:val="0"/>
          <w:numId w:val="44"/>
        </w:numPr>
        <w:spacing w:line="259" w:lineRule="auto"/>
        <w:jc w:val="both"/>
        <w:rPr>
          <w:rFonts w:ascii="Century Gothic" w:hAnsi="Century Gothic"/>
          <w:sz w:val="22"/>
          <w:szCs w:val="22"/>
        </w:rPr>
      </w:pPr>
      <w:r w:rsidRPr="008D55A4">
        <w:rPr>
          <w:rFonts w:ascii="Century Gothic" w:hAnsi="Century Gothic"/>
          <w:sz w:val="22"/>
          <w:szCs w:val="22"/>
        </w:rPr>
        <w:t>Alcance y metodología para utilizar en cada trabajo.</w:t>
      </w:r>
    </w:p>
    <w:p w14:paraId="38B72E32" w14:textId="77777777" w:rsidR="0010699F" w:rsidRPr="008D55A4" w:rsidRDefault="0010699F" w:rsidP="0010699F">
      <w:pPr>
        <w:pStyle w:val="ListParagraph"/>
        <w:numPr>
          <w:ilvl w:val="0"/>
          <w:numId w:val="44"/>
        </w:numPr>
        <w:spacing w:line="259" w:lineRule="auto"/>
        <w:jc w:val="both"/>
        <w:rPr>
          <w:rFonts w:ascii="Century Gothic" w:hAnsi="Century Gothic"/>
          <w:sz w:val="22"/>
          <w:szCs w:val="22"/>
        </w:rPr>
      </w:pPr>
      <w:r w:rsidRPr="008D55A4">
        <w:rPr>
          <w:rFonts w:ascii="Century Gothic" w:hAnsi="Century Gothic"/>
          <w:sz w:val="22"/>
          <w:szCs w:val="22"/>
        </w:rPr>
        <w:t>Cronograma de ejecución de auditoría, incluyendo actividades y distribución en el equipo de auditoría.</w:t>
      </w:r>
    </w:p>
    <w:p w14:paraId="6674066F" w14:textId="77777777" w:rsidR="0010699F" w:rsidRPr="008D55A4" w:rsidRDefault="0010699F" w:rsidP="0010699F">
      <w:pPr>
        <w:pStyle w:val="ListParagraph"/>
        <w:numPr>
          <w:ilvl w:val="0"/>
          <w:numId w:val="44"/>
        </w:numPr>
        <w:spacing w:line="259" w:lineRule="auto"/>
        <w:jc w:val="both"/>
        <w:rPr>
          <w:rFonts w:ascii="Century Gothic" w:hAnsi="Century Gothic"/>
          <w:sz w:val="22"/>
          <w:szCs w:val="22"/>
        </w:rPr>
      </w:pPr>
      <w:r w:rsidRPr="008D55A4">
        <w:rPr>
          <w:rFonts w:ascii="Century Gothic" w:hAnsi="Century Gothic"/>
          <w:sz w:val="22"/>
          <w:szCs w:val="22"/>
        </w:rPr>
        <w:t>Plan de trabajo de la auditoría, el cual deberá incluir las fechas de entrega de los informes.</w:t>
      </w:r>
    </w:p>
    <w:p w14:paraId="0C27BB1A" w14:textId="77777777" w:rsidR="0010699F" w:rsidRPr="008D55A4" w:rsidRDefault="0010699F" w:rsidP="0010699F">
      <w:pPr>
        <w:pStyle w:val="ListParagraph"/>
        <w:numPr>
          <w:ilvl w:val="0"/>
          <w:numId w:val="44"/>
        </w:numPr>
        <w:spacing w:line="259" w:lineRule="auto"/>
        <w:jc w:val="both"/>
        <w:rPr>
          <w:rFonts w:ascii="Century Gothic" w:hAnsi="Century Gothic"/>
          <w:sz w:val="22"/>
          <w:szCs w:val="22"/>
        </w:rPr>
      </w:pPr>
      <w:r w:rsidRPr="008D55A4">
        <w:rPr>
          <w:rFonts w:ascii="Century Gothic" w:hAnsi="Century Gothic"/>
          <w:sz w:val="22"/>
          <w:szCs w:val="22"/>
        </w:rPr>
        <w:t>Modelos de informes y su contenido.</w:t>
      </w:r>
    </w:p>
    <w:p w14:paraId="6B4181B3" w14:textId="77777777" w:rsidR="0010699F" w:rsidRPr="008D55A4" w:rsidRDefault="0010699F" w:rsidP="0010699F">
      <w:pPr>
        <w:pStyle w:val="ListParagraph"/>
        <w:numPr>
          <w:ilvl w:val="0"/>
          <w:numId w:val="44"/>
        </w:numPr>
        <w:spacing w:line="259" w:lineRule="auto"/>
        <w:jc w:val="both"/>
        <w:rPr>
          <w:rFonts w:ascii="Century Gothic" w:hAnsi="Century Gothic"/>
          <w:sz w:val="22"/>
          <w:szCs w:val="22"/>
        </w:rPr>
      </w:pPr>
      <w:r w:rsidRPr="008D55A4">
        <w:rPr>
          <w:rFonts w:ascii="Century Gothic" w:hAnsi="Century Gothic"/>
          <w:sz w:val="22"/>
          <w:szCs w:val="22"/>
        </w:rPr>
        <w:t>Equipo de trabajo indicando su responsabilidad y experiencia en:</w:t>
      </w:r>
    </w:p>
    <w:p w14:paraId="4B19A524" w14:textId="77777777" w:rsidR="0010699F" w:rsidRPr="008D55A4" w:rsidRDefault="0010699F" w:rsidP="0010699F">
      <w:pPr>
        <w:pStyle w:val="ListParagraph"/>
        <w:numPr>
          <w:ilvl w:val="0"/>
          <w:numId w:val="45"/>
        </w:numPr>
        <w:spacing w:line="259" w:lineRule="auto"/>
        <w:jc w:val="both"/>
        <w:rPr>
          <w:rFonts w:ascii="Century Gothic" w:hAnsi="Century Gothic"/>
          <w:sz w:val="22"/>
          <w:szCs w:val="22"/>
        </w:rPr>
      </w:pPr>
      <w:r w:rsidRPr="008D55A4">
        <w:rPr>
          <w:rFonts w:ascii="Century Gothic" w:hAnsi="Century Gothic"/>
          <w:sz w:val="22"/>
          <w:szCs w:val="22"/>
        </w:rPr>
        <w:t>Trabajos de auditoría del sistema financiero nacional</w:t>
      </w:r>
    </w:p>
    <w:p w14:paraId="31E12C52" w14:textId="77777777" w:rsidR="0010699F" w:rsidRPr="008D55A4" w:rsidRDefault="0010699F" w:rsidP="0010699F">
      <w:pPr>
        <w:pStyle w:val="ListParagraph"/>
        <w:numPr>
          <w:ilvl w:val="0"/>
          <w:numId w:val="45"/>
        </w:numPr>
        <w:spacing w:line="259" w:lineRule="auto"/>
        <w:jc w:val="both"/>
        <w:rPr>
          <w:rFonts w:ascii="Century Gothic" w:hAnsi="Century Gothic"/>
          <w:sz w:val="22"/>
          <w:szCs w:val="22"/>
        </w:rPr>
      </w:pPr>
      <w:r w:rsidRPr="008D55A4">
        <w:rPr>
          <w:rFonts w:ascii="Century Gothic" w:hAnsi="Century Gothic"/>
          <w:sz w:val="22"/>
          <w:szCs w:val="22"/>
        </w:rPr>
        <w:t>Revisión de cumplimiento de leyes, normas y regulaciones</w:t>
      </w:r>
    </w:p>
    <w:p w14:paraId="266E2241" w14:textId="77777777" w:rsidR="0010699F" w:rsidRPr="008D55A4" w:rsidRDefault="0010699F" w:rsidP="0010699F">
      <w:pPr>
        <w:pStyle w:val="ListParagraph"/>
        <w:numPr>
          <w:ilvl w:val="0"/>
          <w:numId w:val="45"/>
        </w:numPr>
        <w:spacing w:line="259" w:lineRule="auto"/>
        <w:jc w:val="both"/>
        <w:rPr>
          <w:rFonts w:ascii="Century Gothic" w:hAnsi="Century Gothic"/>
          <w:sz w:val="22"/>
          <w:szCs w:val="22"/>
        </w:rPr>
      </w:pPr>
      <w:r w:rsidRPr="008D55A4">
        <w:rPr>
          <w:rFonts w:ascii="Century Gothic" w:hAnsi="Century Gothic"/>
          <w:sz w:val="22"/>
          <w:szCs w:val="22"/>
        </w:rPr>
        <w:t>Trabajos similares realizados</w:t>
      </w:r>
    </w:p>
    <w:p w14:paraId="6A24D0A2" w14:textId="77777777" w:rsidR="0010699F" w:rsidRPr="008D55A4" w:rsidRDefault="0010699F" w:rsidP="0010699F">
      <w:pPr>
        <w:pStyle w:val="ListParagraph"/>
        <w:numPr>
          <w:ilvl w:val="0"/>
          <w:numId w:val="46"/>
        </w:numPr>
        <w:spacing w:line="259" w:lineRule="auto"/>
        <w:jc w:val="both"/>
        <w:rPr>
          <w:rFonts w:ascii="Century Gothic" w:hAnsi="Century Gothic"/>
          <w:sz w:val="22"/>
          <w:szCs w:val="22"/>
        </w:rPr>
      </w:pPr>
      <w:r w:rsidRPr="008D55A4">
        <w:rPr>
          <w:rFonts w:ascii="Century Gothic" w:hAnsi="Century Gothic"/>
          <w:sz w:val="22"/>
          <w:szCs w:val="22"/>
        </w:rPr>
        <w:t>Indicación de la disponibilidad de tiempo para el inicio de los trabajos</w:t>
      </w:r>
    </w:p>
    <w:p w14:paraId="2164B976" w14:textId="77777777" w:rsidR="0010699F" w:rsidRPr="008D55A4" w:rsidRDefault="0010699F" w:rsidP="0010699F">
      <w:pPr>
        <w:pStyle w:val="ListParagraph"/>
        <w:numPr>
          <w:ilvl w:val="0"/>
          <w:numId w:val="46"/>
        </w:numPr>
        <w:spacing w:line="259" w:lineRule="auto"/>
        <w:jc w:val="both"/>
        <w:rPr>
          <w:rFonts w:ascii="Century Gothic" w:hAnsi="Century Gothic"/>
          <w:sz w:val="22"/>
          <w:szCs w:val="22"/>
        </w:rPr>
      </w:pPr>
      <w:r w:rsidRPr="008D55A4">
        <w:rPr>
          <w:rFonts w:ascii="Century Gothic" w:hAnsi="Century Gothic"/>
          <w:sz w:val="22"/>
          <w:szCs w:val="22"/>
        </w:rPr>
        <w:t>Confirmación de que la firma no se encuentra impedida o involucrada en demandas o procesos judiciales relacionados con el ejercicio de la profesión.</w:t>
      </w:r>
    </w:p>
    <w:p w14:paraId="302B98D8" w14:textId="77777777" w:rsidR="0010699F" w:rsidRPr="008D55A4" w:rsidRDefault="0010699F" w:rsidP="0010699F">
      <w:pPr>
        <w:pStyle w:val="ListParagraph"/>
        <w:numPr>
          <w:ilvl w:val="0"/>
          <w:numId w:val="46"/>
        </w:numPr>
        <w:spacing w:line="259" w:lineRule="auto"/>
        <w:jc w:val="both"/>
        <w:rPr>
          <w:rFonts w:ascii="Century Gothic" w:hAnsi="Century Gothic"/>
          <w:sz w:val="22"/>
          <w:szCs w:val="22"/>
        </w:rPr>
      </w:pPr>
      <w:r w:rsidRPr="008D55A4">
        <w:rPr>
          <w:rFonts w:ascii="Century Gothic" w:hAnsi="Century Gothic"/>
          <w:sz w:val="22"/>
          <w:szCs w:val="22"/>
        </w:rPr>
        <w:t>Especificación de entregables.</w:t>
      </w:r>
    </w:p>
    <w:p w14:paraId="13935A0F" w14:textId="77777777" w:rsidR="0010699F" w:rsidRPr="008D55A4" w:rsidRDefault="0010699F" w:rsidP="0010699F">
      <w:pPr>
        <w:pStyle w:val="ListParagraph"/>
        <w:numPr>
          <w:ilvl w:val="0"/>
          <w:numId w:val="46"/>
        </w:numPr>
        <w:spacing w:line="259" w:lineRule="auto"/>
        <w:jc w:val="both"/>
        <w:rPr>
          <w:rFonts w:ascii="Century Gothic" w:hAnsi="Century Gothic"/>
          <w:sz w:val="22"/>
          <w:szCs w:val="22"/>
        </w:rPr>
      </w:pPr>
      <w:r w:rsidRPr="008D55A4">
        <w:rPr>
          <w:rFonts w:ascii="Century Gothic" w:hAnsi="Century Gothic"/>
          <w:sz w:val="22"/>
          <w:szCs w:val="22"/>
        </w:rPr>
        <w:t>Certificación de no Conflictos de Intereses con el trabajo a realizar</w:t>
      </w:r>
    </w:p>
    <w:p w14:paraId="16F29EC9" w14:textId="77777777" w:rsidR="0010699F" w:rsidRPr="008D55A4" w:rsidRDefault="0010699F" w:rsidP="0010699F">
      <w:pPr>
        <w:pStyle w:val="ListParagraph"/>
        <w:numPr>
          <w:ilvl w:val="0"/>
          <w:numId w:val="46"/>
        </w:numPr>
        <w:contextualSpacing w:val="0"/>
        <w:jc w:val="both"/>
        <w:rPr>
          <w:rFonts w:ascii="Century Gothic" w:hAnsi="Century Gothic"/>
          <w:sz w:val="22"/>
          <w:szCs w:val="22"/>
        </w:rPr>
      </w:pPr>
      <w:r w:rsidRPr="008D55A4">
        <w:rPr>
          <w:rFonts w:ascii="Century Gothic" w:hAnsi="Century Gothic"/>
          <w:sz w:val="22"/>
          <w:szCs w:val="22"/>
        </w:rPr>
        <w:t>Coordinación, Supervisión e Informes: Los entregables deben ser tres (3) ejemplares en original. A parte de los informes entregados en físico, firmados y sellados por la firma de auditoría externa, deben entregar los informes finales en formato digital PDF para fines de publicación en la sección de Transparencia del portal Web de la institución.</w:t>
      </w: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795D369F" w14:textId="4D1D5FCF"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w:t>
      </w:r>
      <w:r w:rsidR="008052AC" w:rsidRPr="00A37913">
        <w:rPr>
          <w:rFonts w:asciiTheme="minorHAnsi" w:hAnsiTheme="minorHAnsi" w:cstheme="minorHAnsi"/>
          <w:color w:val="000000"/>
          <w:lang w:val="es-DO"/>
        </w:rPr>
        <w:t>veinti</w:t>
      </w:r>
      <w:r w:rsidR="008052AC">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8052AC">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0EEB9977"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052AC" w:rsidRPr="0092586B">
        <w:rPr>
          <w:rFonts w:asciiTheme="minorHAnsi" w:hAnsiTheme="minorHAnsi" w:cs="Calibri"/>
          <w:color w:val="000000"/>
          <w:lang w:val="es-DO"/>
        </w:rPr>
        <w:t>veint</w:t>
      </w:r>
      <w:r w:rsidR="008052AC">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052AC">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xml:space="preserve">, de generales que constan, quienes me han declarado </w:t>
      </w:r>
      <w:r w:rsidR="0052672F" w:rsidRPr="005C3607">
        <w:rPr>
          <w:rFonts w:asciiTheme="minorHAnsi" w:hAnsiTheme="minorHAnsi" w:cs="Calibri"/>
          <w:color w:val="000000"/>
          <w:lang w:val="es-DO"/>
        </w:rPr>
        <w:lastRenderedPageBreak/>
        <w:t>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C54A42" w:rsidRDefault="00C54A42">
      <w:r>
        <w:separator/>
      </w:r>
    </w:p>
  </w:endnote>
  <w:endnote w:type="continuationSeparator" w:id="0">
    <w:p w14:paraId="20642B0E" w14:textId="77777777" w:rsidR="00C54A42" w:rsidRDefault="00C5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C54A42" w:rsidRDefault="00C5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C54A42" w:rsidRDefault="00C5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C54A42" w:rsidRDefault="00C54A42">
            <w:pPr>
              <w:pStyle w:val="Footer"/>
            </w:pPr>
            <w:r>
              <w:t xml:space="preserve">Page </w:t>
            </w:r>
            <w:r>
              <w:rPr>
                <w:b/>
                <w:bCs/>
              </w:rPr>
              <w:fldChar w:fldCharType="begin"/>
            </w:r>
            <w:r>
              <w:rPr>
                <w:b/>
                <w:bCs/>
              </w:rPr>
              <w:instrText xml:space="preserve"> PAGE </w:instrText>
            </w:r>
            <w:r>
              <w:rPr>
                <w:b/>
                <w:bCs/>
              </w:rPr>
              <w:fldChar w:fldCharType="separate"/>
            </w:r>
            <w:r>
              <w:rPr>
                <w:b/>
                <w:bCs/>
                <w:noProof/>
              </w:rPr>
              <w:t>7</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Pr>
                <w:b/>
                <w:bCs/>
                <w:noProof/>
              </w:rPr>
              <w:t>7</w:t>
            </w:r>
            <w:r>
              <w:rPr>
                <w:b/>
                <w:bCs/>
              </w:rPr>
              <w:fldChar w:fldCharType="end"/>
            </w:r>
          </w:p>
        </w:sdtContent>
      </w:sdt>
    </w:sdtContent>
  </w:sdt>
  <w:p w14:paraId="0E8EFE37" w14:textId="0CEF1334" w:rsidR="00C54A42" w:rsidRDefault="00C54A42">
    <w:pPr>
      <w:pStyle w:val="Footer"/>
      <w:ind w:right="360"/>
    </w:pPr>
  </w:p>
  <w:p w14:paraId="4AC05FAC" w14:textId="77777777" w:rsidR="00C54A42" w:rsidRDefault="00C5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C54A42" w:rsidRDefault="00C54A42">
      <w:r>
        <w:separator/>
      </w:r>
    </w:p>
  </w:footnote>
  <w:footnote w:type="continuationSeparator" w:id="0">
    <w:p w14:paraId="3FDB12F4" w14:textId="77777777" w:rsidR="00C54A42" w:rsidRDefault="00C54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C54A42" w:rsidRDefault="00C54A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C54A42" w:rsidRDefault="00C54A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9C5DDC"/>
    <w:multiLevelType w:val="hybridMultilevel"/>
    <w:tmpl w:val="E2349A1C"/>
    <w:lvl w:ilvl="0" w:tplc="C07CDCEC">
      <w:start w:val="3"/>
      <w:numFmt w:val="bullet"/>
      <w:lvlText w:val="-"/>
      <w:lvlJc w:val="left"/>
      <w:pPr>
        <w:ind w:left="720" w:hanging="360"/>
      </w:pPr>
      <w:rPr>
        <w:rFonts w:ascii="Century Gothic" w:eastAsia="Times New Roman" w:hAnsi="Century Gothic"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06F3D"/>
    <w:multiLevelType w:val="multilevel"/>
    <w:tmpl w:val="76E4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7"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1" w15:restartNumberingAfterBreak="0">
    <w:nsid w:val="14547F1C"/>
    <w:multiLevelType w:val="multilevel"/>
    <w:tmpl w:val="7086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4B69B4"/>
    <w:multiLevelType w:val="hybridMultilevel"/>
    <w:tmpl w:val="2C6CB0F0"/>
    <w:lvl w:ilvl="0" w:tplc="DB6AE990">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308B6FCE"/>
    <w:multiLevelType w:val="hybridMultilevel"/>
    <w:tmpl w:val="FEC6B9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20"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9A3BE1"/>
    <w:multiLevelType w:val="multilevel"/>
    <w:tmpl w:val="CB7A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9432C7"/>
    <w:multiLevelType w:val="multilevel"/>
    <w:tmpl w:val="4EE4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8B32A7"/>
    <w:multiLevelType w:val="hybridMultilevel"/>
    <w:tmpl w:val="4D6C8D82"/>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2" w15:restartNumberingAfterBreak="0">
    <w:nsid w:val="6D411731"/>
    <w:multiLevelType w:val="hybridMultilevel"/>
    <w:tmpl w:val="AEAC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F3159E"/>
    <w:multiLevelType w:val="multilevel"/>
    <w:tmpl w:val="2BA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2114C"/>
    <w:multiLevelType w:val="hybridMultilevel"/>
    <w:tmpl w:val="F86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15:restartNumberingAfterBreak="0">
    <w:nsid w:val="77886C0E"/>
    <w:multiLevelType w:val="multilevel"/>
    <w:tmpl w:val="4CB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2" w15:restartNumberingAfterBreak="0">
    <w:nsid w:val="7C063950"/>
    <w:multiLevelType w:val="multilevel"/>
    <w:tmpl w:val="D3B4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D6016D"/>
    <w:multiLevelType w:val="hybridMultilevel"/>
    <w:tmpl w:val="BF48A12C"/>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num w:numId="1">
    <w:abstractNumId w:val="36"/>
  </w:num>
  <w:num w:numId="2">
    <w:abstractNumId w:val="14"/>
  </w:num>
  <w:num w:numId="3">
    <w:abstractNumId w:val="19"/>
  </w:num>
  <w:num w:numId="4">
    <w:abstractNumId w:val="12"/>
  </w:num>
  <w:num w:numId="5">
    <w:abstractNumId w:val="41"/>
  </w:num>
  <w:num w:numId="6">
    <w:abstractNumId w:val="29"/>
  </w:num>
  <w:num w:numId="7">
    <w:abstractNumId w:val="3"/>
  </w:num>
  <w:num w:numId="8">
    <w:abstractNumId w:val="30"/>
  </w:num>
  <w:num w:numId="9">
    <w:abstractNumId w:val="6"/>
  </w:num>
  <w:num w:numId="10">
    <w:abstractNumId w:val="20"/>
  </w:num>
  <w:num w:numId="11">
    <w:abstractNumId w:val="24"/>
  </w:num>
  <w:num w:numId="12">
    <w:abstractNumId w:val="39"/>
  </w:num>
  <w:num w:numId="13">
    <w:abstractNumId w:val="23"/>
  </w:num>
  <w:num w:numId="14">
    <w:abstractNumId w:val="44"/>
  </w:num>
  <w:num w:numId="15">
    <w:abstractNumId w:val="40"/>
  </w:num>
  <w:num w:numId="16">
    <w:abstractNumId w:val="27"/>
  </w:num>
  <w:num w:numId="17">
    <w:abstractNumId w:val="34"/>
  </w:num>
  <w:num w:numId="18">
    <w:abstractNumId w:val="37"/>
  </w:num>
  <w:num w:numId="19">
    <w:abstractNumId w:val="9"/>
  </w:num>
  <w:num w:numId="20">
    <w:abstractNumId w:val="43"/>
  </w:num>
  <w:num w:numId="21">
    <w:abstractNumId w:val="2"/>
  </w:num>
  <w:num w:numId="22">
    <w:abstractNumId w:val="8"/>
  </w:num>
  <w:num w:numId="23">
    <w:abstractNumId w:val="0"/>
  </w:num>
  <w:num w:numId="24">
    <w:abstractNumId w:val="28"/>
  </w:num>
  <w:num w:numId="25">
    <w:abstractNumId w:val="13"/>
  </w:num>
  <w:num w:numId="26">
    <w:abstractNumId w:val="26"/>
  </w:num>
  <w:num w:numId="27">
    <w:abstractNumId w:val="16"/>
  </w:num>
  <w:num w:numId="28">
    <w:abstractNumId w:val="7"/>
  </w:num>
  <w:num w:numId="29">
    <w:abstractNumId w:val="15"/>
  </w:num>
  <w:num w:numId="30">
    <w:abstractNumId w:val="1"/>
  </w:num>
  <w:num w:numId="31">
    <w:abstractNumId w:val="10"/>
  </w:num>
  <w:num w:numId="32">
    <w:abstractNumId w:val="31"/>
  </w:num>
  <w:num w:numId="33">
    <w:abstractNumId w:val="11"/>
  </w:num>
  <w:num w:numId="34">
    <w:abstractNumId w:val="22"/>
  </w:num>
  <w:num w:numId="35">
    <w:abstractNumId w:val="33"/>
  </w:num>
  <w:num w:numId="36">
    <w:abstractNumId w:val="5"/>
  </w:num>
  <w:num w:numId="37">
    <w:abstractNumId w:val="42"/>
  </w:num>
  <w:num w:numId="38">
    <w:abstractNumId w:val="21"/>
  </w:num>
  <w:num w:numId="39">
    <w:abstractNumId w:val="38"/>
  </w:num>
  <w:num w:numId="40">
    <w:abstractNumId w:val="4"/>
  </w:num>
  <w:num w:numId="41">
    <w:abstractNumId w:val="17"/>
  </w:num>
  <w:num w:numId="42">
    <w:abstractNumId w:val="25"/>
  </w:num>
  <w:num w:numId="43">
    <w:abstractNumId w:val="45"/>
  </w:num>
  <w:num w:numId="44">
    <w:abstractNumId w:val="32"/>
  </w:num>
  <w:num w:numId="45">
    <w:abstractNumId w:val="18"/>
  </w:num>
  <w:num w:numId="46">
    <w:abstractNumId w:val="3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0699F"/>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6D4"/>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25A95"/>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176"/>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4F7126"/>
    <w:rsid w:val="005031FC"/>
    <w:rsid w:val="0050561A"/>
    <w:rsid w:val="00510D52"/>
    <w:rsid w:val="00514319"/>
    <w:rsid w:val="005172A0"/>
    <w:rsid w:val="00522DF4"/>
    <w:rsid w:val="00523FB2"/>
    <w:rsid w:val="00525663"/>
    <w:rsid w:val="0052672F"/>
    <w:rsid w:val="00526F72"/>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2AC"/>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368D4"/>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B6AFB"/>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4A4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cf01">
    <w:name w:val="cf01"/>
    <w:basedOn w:val="DefaultParagraphFont"/>
    <w:rsid w:val="00493176"/>
    <w:rPr>
      <w:rFonts w:ascii="Segoe UI" w:hAnsi="Segoe UI" w:cs="Segoe UI" w:hint="default"/>
      <w:sz w:val="18"/>
      <w:szCs w:val="18"/>
    </w:rPr>
  </w:style>
  <w:style w:type="paragraph" w:customStyle="1" w:styleId="paragraph">
    <w:name w:val="paragraph"/>
    <w:basedOn w:val="Normal"/>
    <w:rsid w:val="00C54A42"/>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C54A42"/>
  </w:style>
  <w:style w:type="character" w:customStyle="1" w:styleId="eop">
    <w:name w:val="eop"/>
    <w:basedOn w:val="DefaultParagraphFont"/>
    <w:rsid w:val="00C54A42"/>
  </w:style>
  <w:style w:type="character" w:customStyle="1" w:styleId="ListParagraphChar">
    <w:name w:val="List Paragraph Char"/>
    <w:basedOn w:val="DefaultParagraphFont"/>
    <w:link w:val="ListParagraph"/>
    <w:uiPriority w:val="34"/>
    <w:locked/>
    <w:rsid w:val="00425A95"/>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
      <w:docPartPr>
        <w:name w:val="3B978755EAE941988828A4A757A1944B"/>
        <w:category>
          <w:name w:val="General"/>
          <w:gallery w:val="placeholder"/>
        </w:category>
        <w:types>
          <w:type w:val="bbPlcHdr"/>
        </w:types>
        <w:behaviors>
          <w:behavior w:val="content"/>
        </w:behaviors>
        <w:guid w:val="{CC844E59-A498-49DD-94ED-7E36EEC80100}"/>
      </w:docPartPr>
      <w:docPartBody>
        <w:p w:rsidR="00000000" w:rsidRDefault="00491C0C" w:rsidP="00491C0C">
          <w:pPr>
            <w:pStyle w:val="3B978755EAE941988828A4A757A1944B"/>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1E6982"/>
    <w:rsid w:val="00394BAB"/>
    <w:rsid w:val="00402D87"/>
    <w:rsid w:val="00491C0C"/>
    <w:rsid w:val="00750212"/>
    <w:rsid w:val="009A2661"/>
    <w:rsid w:val="009E3435"/>
    <w:rsid w:val="00CD4B64"/>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C0C"/>
    <w:rPr>
      <w:color w:val="808080"/>
    </w:rPr>
  </w:style>
  <w:style w:type="paragraph" w:customStyle="1" w:styleId="3B978755EAE941988828A4A757A1944B">
    <w:name w:val="3B978755EAE941988828A4A757A1944B"/>
    <w:rsid w:val="00491C0C"/>
    <w:rPr>
      <w:lang w:val="en-US" w:eastAsia="en-US"/>
    </w:rPr>
  </w:style>
  <w:style w:type="paragraph" w:customStyle="1" w:styleId="C0A2B890C74C4434A4F0673BBED0105B">
    <w:name w:val="C0A2B890C74C4434A4F0673BBED0105B"/>
    <w:rsid w:val="00491C0C"/>
    <w:rPr>
      <w:lang w:val="en-US" w:eastAsia="en-US"/>
    </w:rPr>
  </w:style>
  <w:style w:type="paragraph" w:customStyle="1" w:styleId="66A31340A06748F5A6505143310946D2">
    <w:name w:val="66A31340A06748F5A6505143310946D2"/>
    <w:rsid w:val="00491C0C"/>
    <w:rPr>
      <w:lang w:val="en-US" w:eastAsia="en-US"/>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2804</Words>
  <Characters>16114</Characters>
  <Application>Microsoft Office Word</Application>
  <DocSecurity>0</DocSecurity>
  <Lines>134</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18</cp:revision>
  <cp:lastPrinted>2015-05-19T16:27:00Z</cp:lastPrinted>
  <dcterms:created xsi:type="dcterms:W3CDTF">2022-03-22T19:53:00Z</dcterms:created>
  <dcterms:modified xsi:type="dcterms:W3CDTF">2023-08-25T16:35:00Z</dcterms:modified>
</cp:coreProperties>
</file>