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3756DA" w:rsidRDefault="00D67144" w:rsidP="00D54F1D">
      <w:pPr>
        <w:jc w:val="center"/>
        <w:rPr>
          <w:rFonts w:asciiTheme="minorHAnsi" w:hAnsiTheme="minorHAnsi" w:cs="Calibri"/>
          <w:b/>
          <w:color w:val="000000" w:themeColor="text1"/>
          <w:lang w:val="en-US"/>
        </w:rPr>
      </w:pPr>
      <w:r w:rsidRPr="003756DA">
        <w:rPr>
          <w:rFonts w:asciiTheme="minorHAnsi" w:hAnsiTheme="minorHAnsi" w:cs="Calibri"/>
          <w:b/>
          <w:color w:val="000000" w:themeColor="text1"/>
          <w:lang w:val="en-US"/>
        </w:rPr>
        <w:t xml:space="preserve">                                                                                                                           CSV</w:t>
      </w:r>
      <w:r w:rsidR="0052672F" w:rsidRPr="003756DA">
        <w:rPr>
          <w:rFonts w:asciiTheme="minorHAnsi" w:hAnsiTheme="minorHAnsi" w:cs="Calibri"/>
          <w:b/>
          <w:color w:val="000000" w:themeColor="text1"/>
          <w:lang w:val="en-US"/>
        </w:rPr>
        <w:t>-</w:t>
      </w:r>
    </w:p>
    <w:p w14:paraId="4F7AB21B" w14:textId="77777777" w:rsidR="00BB6091" w:rsidRPr="003756DA" w:rsidRDefault="00BB6091" w:rsidP="00BB6091">
      <w:pPr>
        <w:jc w:val="both"/>
        <w:rPr>
          <w:rFonts w:asciiTheme="minorHAnsi" w:hAnsiTheme="minorHAnsi" w:cs="Calibri"/>
          <w:b/>
          <w:color w:val="000000" w:themeColor="text1"/>
          <w:lang w:val="en-US"/>
        </w:rPr>
      </w:pPr>
    </w:p>
    <w:p w14:paraId="0BC33B41" w14:textId="14624A71" w:rsidR="006D4BEA" w:rsidRPr="002B5AAF" w:rsidRDefault="006D4BEA" w:rsidP="00BB6091">
      <w:pPr>
        <w:jc w:val="both"/>
        <w:rPr>
          <w:rFonts w:asciiTheme="minorHAnsi" w:hAnsiTheme="minorHAnsi" w:cs="Calibri"/>
          <w:b/>
          <w:color w:val="000000"/>
          <w:lang w:val="es-DO"/>
        </w:rPr>
      </w:pPr>
      <w:r w:rsidRPr="003756DA">
        <w:rPr>
          <w:rFonts w:asciiTheme="minorHAnsi" w:hAnsiTheme="minorHAnsi" w:cs="Calibri"/>
          <w:b/>
          <w:color w:val="000000" w:themeColor="text1"/>
          <w:lang w:val="es-ES"/>
        </w:rPr>
        <w:t xml:space="preserve">CONTRATO </w:t>
      </w:r>
      <w:r w:rsidR="00B957C8" w:rsidRPr="003756DA">
        <w:rPr>
          <w:rFonts w:asciiTheme="minorHAnsi" w:hAnsiTheme="minorHAnsi" w:cs="Calibri"/>
          <w:b/>
          <w:color w:val="000000"/>
          <w:lang w:val="es-ES"/>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Content>
              <w:bookmarkEnd w:id="0"/>
              <w:r w:rsidR="003756DA" w:rsidRPr="003756DA">
                <w:rPr>
                  <w:rFonts w:asciiTheme="minorHAnsi" w:hAnsiTheme="minorHAnsi" w:cs="Calibri"/>
                  <w:b/>
                  <w:color w:val="000000"/>
                  <w:lang w:val="es-DO"/>
                </w:rPr>
                <w:t>Adquisición</w:t>
              </w:r>
              <w:r w:rsidR="003756DA" w:rsidRPr="003756DA">
                <w:rPr>
                  <w:rFonts w:asciiTheme="minorHAnsi" w:hAnsiTheme="minorHAnsi" w:cs="Calibri"/>
                  <w:b/>
                  <w:color w:val="000000"/>
                  <w:lang w:val="es-DO"/>
                </w:rPr>
                <w:t xml:space="preserve"> de Software de Inversiones</w:t>
              </w:r>
            </w:sdtContent>
          </w:sdt>
        </w:sdtContent>
      </w:sdt>
      <w:r w:rsidR="00BD147D"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195CFC7D" w14:textId="39A85BC6"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r w:rsidR="003756DA" w:rsidRPr="003756DA">
        <w:rPr>
          <w:rFonts w:asciiTheme="majorHAnsi" w:eastAsia="Calibri" w:hAnsiTheme="majorHAnsi" w:cs="Arial"/>
          <w:b/>
          <w:szCs w:val="18"/>
        </w:rPr>
        <w:t>Adquisición</w:t>
      </w:r>
      <w:r w:rsidR="003756DA" w:rsidRPr="003756DA">
        <w:rPr>
          <w:rFonts w:asciiTheme="majorHAnsi" w:eastAsia="Calibri" w:hAnsiTheme="majorHAnsi" w:cs="Arial"/>
          <w:b/>
          <w:szCs w:val="18"/>
        </w:rPr>
        <w:t xml:space="preserve"> de Software de Inversiones</w:t>
      </w: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4CEAFA1C"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lastRenderedPageBreak/>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3756DA">
        <w:rPr>
          <w:rFonts w:asciiTheme="minorHAnsi" w:hAnsiTheme="minorHAnsi" w:cstheme="minorHAnsi"/>
          <w:b/>
          <w:bCs/>
        </w:rPr>
        <w:t>21</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48421CFD" w14:textId="450A2BB7" w:rsidR="00CB73FA" w:rsidRDefault="00CB73FA" w:rsidP="005C3607">
      <w:pPr>
        <w:jc w:val="both"/>
        <w:rPr>
          <w:rFonts w:asciiTheme="majorHAnsi" w:eastAsia="Calibri" w:hAnsiTheme="majorHAnsi" w:cs="Arial"/>
          <w:b/>
          <w:szCs w:val="18"/>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CA69B0" w:rsidRPr="00CA69B0">
        <w:rPr>
          <w:rFonts w:asciiTheme="majorHAnsi" w:eastAsia="Calibri" w:hAnsiTheme="majorHAnsi" w:cs="Arial"/>
          <w:b/>
          <w:szCs w:val="18"/>
        </w:rPr>
        <w:t>ADQUISICION VEHICULO SUV</w:t>
      </w:r>
    </w:p>
    <w:p w14:paraId="323BDCDB" w14:textId="77777777" w:rsidR="00CA69B0" w:rsidRPr="005C3607" w:rsidRDefault="00CA69B0"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lastRenderedPageBreak/>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Pr="00CA69B0" w:rsidRDefault="002B5AAF" w:rsidP="007E6F3C">
      <w:pPr>
        <w:jc w:val="both"/>
        <w:rPr>
          <w:rFonts w:asciiTheme="majorHAnsi" w:hAnsiTheme="majorHAnsi" w:cstheme="majorHAnsi"/>
          <w:b/>
          <w:sz w:val="18"/>
          <w:szCs w:val="18"/>
          <w:u w:val="single"/>
          <w:lang w:val="es-ES"/>
        </w:rPr>
      </w:pPr>
    </w:p>
    <w:tbl>
      <w:tblPr>
        <w:tblStyle w:val="TableGrid"/>
        <w:tblW w:w="9998" w:type="dxa"/>
        <w:jc w:val="center"/>
        <w:tblLook w:val="04A0" w:firstRow="1" w:lastRow="0" w:firstColumn="1" w:lastColumn="0" w:noHBand="0" w:noVBand="1"/>
      </w:tblPr>
      <w:tblGrid>
        <w:gridCol w:w="931"/>
        <w:gridCol w:w="1299"/>
        <w:gridCol w:w="1950"/>
        <w:gridCol w:w="3735"/>
        <w:gridCol w:w="2083"/>
      </w:tblGrid>
      <w:tr w:rsidR="00B43F63" w:rsidRPr="00E46814" w14:paraId="1F5D43E9" w14:textId="77777777" w:rsidTr="00725E89">
        <w:trPr>
          <w:jc w:val="center"/>
        </w:trPr>
        <w:tc>
          <w:tcPr>
            <w:tcW w:w="931" w:type="dxa"/>
            <w:shd w:val="clear" w:color="auto" w:fill="auto"/>
            <w:vAlign w:val="center"/>
          </w:tcPr>
          <w:p w14:paraId="26860AB2" w14:textId="77777777" w:rsidR="00B43F63" w:rsidRPr="00E46814" w:rsidRDefault="00B43F63" w:rsidP="00725E89">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Actividad Comercial</w:t>
            </w:r>
          </w:p>
        </w:tc>
        <w:tc>
          <w:tcPr>
            <w:tcW w:w="1299" w:type="dxa"/>
            <w:shd w:val="clear" w:color="auto" w:fill="auto"/>
            <w:vAlign w:val="center"/>
          </w:tcPr>
          <w:p w14:paraId="7F551ED5" w14:textId="77777777" w:rsidR="00B43F63" w:rsidRPr="00E46814" w:rsidRDefault="00B43F63" w:rsidP="00725E89">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ITEM</w:t>
            </w:r>
          </w:p>
        </w:tc>
        <w:tc>
          <w:tcPr>
            <w:tcW w:w="5685" w:type="dxa"/>
            <w:gridSpan w:val="2"/>
            <w:shd w:val="clear" w:color="auto" w:fill="auto"/>
            <w:vAlign w:val="center"/>
          </w:tcPr>
          <w:p w14:paraId="7F8CDF37" w14:textId="77777777" w:rsidR="00B43F63" w:rsidRPr="00E46814" w:rsidRDefault="00B43F63" w:rsidP="00725E89">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ESPECIFICACIONES TÉCNICAS</w:t>
            </w:r>
          </w:p>
        </w:tc>
        <w:tc>
          <w:tcPr>
            <w:tcW w:w="2083" w:type="dxa"/>
            <w:shd w:val="clear" w:color="auto" w:fill="auto"/>
          </w:tcPr>
          <w:p w14:paraId="5A5C3B56" w14:textId="77777777" w:rsidR="00B43F63" w:rsidRPr="00E46814" w:rsidRDefault="00B43F63" w:rsidP="00725E89">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REQUISITOS MÍNIMOS</w:t>
            </w:r>
          </w:p>
        </w:tc>
      </w:tr>
      <w:tr w:rsidR="00B43F63" w:rsidRPr="00E46814" w14:paraId="6687A97D" w14:textId="77777777" w:rsidTr="00725E89">
        <w:trPr>
          <w:jc w:val="center"/>
        </w:trPr>
        <w:tc>
          <w:tcPr>
            <w:tcW w:w="931" w:type="dxa"/>
            <w:vMerge w:val="restart"/>
            <w:shd w:val="clear" w:color="auto" w:fill="auto"/>
            <w:vAlign w:val="center"/>
          </w:tcPr>
          <w:p w14:paraId="58030A2D" w14:textId="77777777" w:rsidR="00B43F63" w:rsidRPr="00E46814" w:rsidRDefault="00B43F63" w:rsidP="00725E89">
            <w:pPr>
              <w:autoSpaceDE w:val="0"/>
              <w:autoSpaceDN w:val="0"/>
              <w:adjustRightInd w:val="0"/>
              <w:jc w:val="center"/>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20101500</w:t>
            </w:r>
          </w:p>
        </w:tc>
        <w:tc>
          <w:tcPr>
            <w:tcW w:w="1299" w:type="dxa"/>
            <w:vMerge w:val="restart"/>
            <w:shd w:val="clear" w:color="auto" w:fill="auto"/>
            <w:vAlign w:val="center"/>
          </w:tcPr>
          <w:p w14:paraId="07AA3399" w14:textId="77777777" w:rsidR="00B43F63" w:rsidRPr="00F358FC" w:rsidRDefault="00B43F63" w:rsidP="00725E89">
            <w:pPr>
              <w:autoSpaceDE w:val="0"/>
              <w:autoSpaceDN w:val="0"/>
              <w:adjustRightInd w:val="0"/>
              <w:jc w:val="center"/>
              <w:rPr>
                <w:rFonts w:ascii="Century Gothic" w:hAnsi="Century Gothic" w:cs="CenturyGothic"/>
                <w:sz w:val="14"/>
                <w:szCs w:val="18"/>
                <w:lang w:val="es-ES"/>
              </w:rPr>
            </w:pPr>
            <w:r>
              <w:rPr>
                <w:rFonts w:ascii="Century Gothic" w:hAnsi="Century Gothic" w:cs="CenturyGothic"/>
                <w:sz w:val="14"/>
                <w:szCs w:val="18"/>
                <w:lang w:val="es-ES"/>
              </w:rPr>
              <w:t xml:space="preserve">Adquisición </w:t>
            </w:r>
            <w:r w:rsidRPr="00F358FC">
              <w:rPr>
                <w:rFonts w:ascii="Century Gothic" w:hAnsi="Century Gothic" w:cs="CenturyGothic"/>
                <w:sz w:val="14"/>
                <w:szCs w:val="18"/>
                <w:lang w:val="es-ES"/>
              </w:rPr>
              <w:t>Vehículo</w:t>
            </w:r>
          </w:p>
        </w:tc>
        <w:tc>
          <w:tcPr>
            <w:tcW w:w="1950" w:type="dxa"/>
            <w:shd w:val="clear" w:color="auto" w:fill="auto"/>
            <w:vAlign w:val="center"/>
          </w:tcPr>
          <w:p w14:paraId="278A207E"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Condición</w:t>
            </w:r>
          </w:p>
        </w:tc>
        <w:tc>
          <w:tcPr>
            <w:tcW w:w="3735" w:type="dxa"/>
            <w:shd w:val="clear" w:color="auto" w:fill="auto"/>
          </w:tcPr>
          <w:p w14:paraId="790D462E"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Nuevo </w:t>
            </w:r>
          </w:p>
        </w:tc>
        <w:tc>
          <w:tcPr>
            <w:tcW w:w="2083" w:type="dxa"/>
            <w:vMerge w:val="restart"/>
            <w:shd w:val="clear" w:color="auto" w:fill="auto"/>
          </w:tcPr>
          <w:p w14:paraId="0D4A4CB3" w14:textId="77777777" w:rsidR="00B43F63" w:rsidRPr="00E46814" w:rsidRDefault="00B43F63" w:rsidP="00B43F63">
            <w:pPr>
              <w:pStyle w:val="ListParagraph"/>
              <w:numPr>
                <w:ilvl w:val="0"/>
                <w:numId w:val="33"/>
              </w:numPr>
              <w:autoSpaceDE w:val="0"/>
              <w:autoSpaceDN w:val="0"/>
              <w:adjustRightInd w:val="0"/>
              <w:ind w:left="165" w:hanging="165"/>
              <w:rPr>
                <w:rFonts w:ascii="Century Gothic" w:hAnsi="Century Gothic" w:cs="Calibri Light"/>
                <w:sz w:val="14"/>
                <w:szCs w:val="18"/>
              </w:rPr>
            </w:pPr>
            <w:r w:rsidRPr="00E46814">
              <w:rPr>
                <w:rFonts w:ascii="Century Gothic" w:hAnsi="Century Gothic" w:cs="Calibri Light"/>
                <w:sz w:val="14"/>
                <w:szCs w:val="18"/>
              </w:rPr>
              <w:t xml:space="preserve">Garantía de al menos 3 años o 100,000 </w:t>
            </w:r>
            <w:proofErr w:type="spellStart"/>
            <w:r w:rsidRPr="00E46814">
              <w:rPr>
                <w:rFonts w:ascii="Century Gothic" w:hAnsi="Century Gothic" w:cs="Calibri Light"/>
                <w:sz w:val="14"/>
                <w:szCs w:val="18"/>
              </w:rPr>
              <w:t>kms</w:t>
            </w:r>
            <w:proofErr w:type="spellEnd"/>
          </w:p>
          <w:p w14:paraId="766D1769" w14:textId="77777777" w:rsidR="00B43F63" w:rsidRPr="00E46814" w:rsidRDefault="00B43F63" w:rsidP="00B43F63">
            <w:pPr>
              <w:pStyle w:val="ListParagraph"/>
              <w:numPr>
                <w:ilvl w:val="0"/>
                <w:numId w:val="33"/>
              </w:numPr>
              <w:autoSpaceDE w:val="0"/>
              <w:autoSpaceDN w:val="0"/>
              <w:adjustRightInd w:val="0"/>
              <w:ind w:left="165" w:hanging="165"/>
              <w:rPr>
                <w:rFonts w:ascii="Century Gothic" w:hAnsi="Century Gothic" w:cs="CenturyGothic"/>
                <w:color w:val="000000"/>
                <w:sz w:val="14"/>
                <w:szCs w:val="18"/>
                <w:lang w:val="es-ES"/>
              </w:rPr>
            </w:pPr>
            <w:r w:rsidRPr="00E46814">
              <w:rPr>
                <w:rFonts w:ascii="Century Gothic" w:hAnsi="Century Gothic" w:cs="Calibri Light"/>
                <w:sz w:val="14"/>
                <w:szCs w:val="18"/>
              </w:rPr>
              <w:t>La propuesta incluye la emisión de la primera placa y matrícula a nombre de la Tesorería de la Seguridad Social</w:t>
            </w:r>
          </w:p>
          <w:p w14:paraId="522813AD" w14:textId="77777777" w:rsidR="00B43F63" w:rsidRPr="00E46814" w:rsidRDefault="00B43F63" w:rsidP="00725E89">
            <w:pPr>
              <w:pStyle w:val="ListParagraph"/>
              <w:autoSpaceDE w:val="0"/>
              <w:autoSpaceDN w:val="0"/>
              <w:adjustRightInd w:val="0"/>
              <w:ind w:left="165"/>
              <w:rPr>
                <w:rFonts w:ascii="Century Gothic" w:hAnsi="Century Gothic" w:cs="CenturyGothic"/>
                <w:color w:val="000000"/>
                <w:sz w:val="14"/>
                <w:szCs w:val="18"/>
                <w:lang w:val="es-ES"/>
              </w:rPr>
            </w:pPr>
          </w:p>
        </w:tc>
      </w:tr>
      <w:tr w:rsidR="00B43F63" w:rsidRPr="00E46814" w14:paraId="7F6445FC" w14:textId="77777777" w:rsidTr="00725E89">
        <w:trPr>
          <w:jc w:val="center"/>
        </w:trPr>
        <w:tc>
          <w:tcPr>
            <w:tcW w:w="931" w:type="dxa"/>
            <w:vMerge/>
            <w:shd w:val="clear" w:color="auto" w:fill="auto"/>
          </w:tcPr>
          <w:p w14:paraId="7D7E11D9"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687FB22F"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05E394C3"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Tipo</w:t>
            </w:r>
          </w:p>
        </w:tc>
        <w:tc>
          <w:tcPr>
            <w:tcW w:w="3735" w:type="dxa"/>
            <w:shd w:val="clear" w:color="auto" w:fill="auto"/>
          </w:tcPr>
          <w:p w14:paraId="06CEAE99"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SUV de 5 pasajeros</w:t>
            </w:r>
          </w:p>
        </w:tc>
        <w:tc>
          <w:tcPr>
            <w:tcW w:w="2083" w:type="dxa"/>
            <w:vMerge/>
            <w:shd w:val="clear" w:color="auto" w:fill="auto"/>
          </w:tcPr>
          <w:p w14:paraId="420CC813"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0C3D3163" w14:textId="77777777" w:rsidTr="00725E89">
        <w:trPr>
          <w:jc w:val="center"/>
        </w:trPr>
        <w:tc>
          <w:tcPr>
            <w:tcW w:w="931" w:type="dxa"/>
            <w:vMerge/>
            <w:shd w:val="clear" w:color="auto" w:fill="auto"/>
          </w:tcPr>
          <w:p w14:paraId="44DDC085"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0A2F7E6B"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5B118904"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Año de fabricación</w:t>
            </w:r>
          </w:p>
        </w:tc>
        <w:tc>
          <w:tcPr>
            <w:tcW w:w="3735" w:type="dxa"/>
            <w:shd w:val="clear" w:color="auto" w:fill="auto"/>
          </w:tcPr>
          <w:p w14:paraId="4AC2367E"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2023 en adelante</w:t>
            </w:r>
          </w:p>
        </w:tc>
        <w:tc>
          <w:tcPr>
            <w:tcW w:w="2083" w:type="dxa"/>
            <w:vMerge/>
            <w:shd w:val="clear" w:color="auto" w:fill="auto"/>
          </w:tcPr>
          <w:p w14:paraId="17B16A06"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300CE872" w14:textId="77777777" w:rsidTr="00725E89">
        <w:trPr>
          <w:jc w:val="center"/>
        </w:trPr>
        <w:tc>
          <w:tcPr>
            <w:tcW w:w="931" w:type="dxa"/>
            <w:vMerge/>
            <w:shd w:val="clear" w:color="auto" w:fill="auto"/>
          </w:tcPr>
          <w:p w14:paraId="229C6833"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65564012"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38E4E0AF"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Marca</w:t>
            </w:r>
          </w:p>
        </w:tc>
        <w:tc>
          <w:tcPr>
            <w:tcW w:w="3735" w:type="dxa"/>
            <w:shd w:val="clear" w:color="auto" w:fill="auto"/>
          </w:tcPr>
          <w:p w14:paraId="3F8C73DD"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Japón, Estados Unidos, Europa o Corea del Sur</w:t>
            </w:r>
          </w:p>
        </w:tc>
        <w:tc>
          <w:tcPr>
            <w:tcW w:w="2083" w:type="dxa"/>
            <w:vMerge/>
            <w:shd w:val="clear" w:color="auto" w:fill="auto"/>
          </w:tcPr>
          <w:p w14:paraId="0A45BA68"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72147D13" w14:textId="77777777" w:rsidTr="00725E89">
        <w:trPr>
          <w:jc w:val="center"/>
        </w:trPr>
        <w:tc>
          <w:tcPr>
            <w:tcW w:w="931" w:type="dxa"/>
            <w:vMerge/>
            <w:shd w:val="clear" w:color="auto" w:fill="auto"/>
          </w:tcPr>
          <w:p w14:paraId="7A3E2DE2"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3E733A74"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659637A6"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Cabina</w:t>
            </w:r>
          </w:p>
        </w:tc>
        <w:tc>
          <w:tcPr>
            <w:tcW w:w="3735" w:type="dxa"/>
            <w:shd w:val="clear" w:color="auto" w:fill="auto"/>
          </w:tcPr>
          <w:p w14:paraId="4EE1CE65"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Doble</w:t>
            </w:r>
          </w:p>
        </w:tc>
        <w:tc>
          <w:tcPr>
            <w:tcW w:w="2083" w:type="dxa"/>
            <w:vMerge/>
            <w:shd w:val="clear" w:color="auto" w:fill="auto"/>
          </w:tcPr>
          <w:p w14:paraId="47B7D288"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08A021CE" w14:textId="77777777" w:rsidTr="00725E89">
        <w:trPr>
          <w:jc w:val="center"/>
        </w:trPr>
        <w:tc>
          <w:tcPr>
            <w:tcW w:w="931" w:type="dxa"/>
            <w:vMerge/>
            <w:shd w:val="clear" w:color="auto" w:fill="auto"/>
          </w:tcPr>
          <w:p w14:paraId="170F41A8"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3F569855"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781EC799"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Puertas</w:t>
            </w:r>
          </w:p>
        </w:tc>
        <w:tc>
          <w:tcPr>
            <w:tcW w:w="3735" w:type="dxa"/>
            <w:shd w:val="clear" w:color="auto" w:fill="auto"/>
          </w:tcPr>
          <w:p w14:paraId="4FDC26CD"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Cuatro</w:t>
            </w:r>
          </w:p>
        </w:tc>
        <w:tc>
          <w:tcPr>
            <w:tcW w:w="2083" w:type="dxa"/>
            <w:vMerge/>
            <w:shd w:val="clear" w:color="auto" w:fill="auto"/>
          </w:tcPr>
          <w:p w14:paraId="4BC967CE"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3EBE4CB6" w14:textId="77777777" w:rsidTr="00725E89">
        <w:trPr>
          <w:jc w:val="center"/>
        </w:trPr>
        <w:tc>
          <w:tcPr>
            <w:tcW w:w="931" w:type="dxa"/>
            <w:vMerge/>
            <w:shd w:val="clear" w:color="auto" w:fill="auto"/>
          </w:tcPr>
          <w:p w14:paraId="023D98C2"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1019F171"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4E5040E9"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Motor </w:t>
            </w:r>
          </w:p>
        </w:tc>
        <w:tc>
          <w:tcPr>
            <w:tcW w:w="3735" w:type="dxa"/>
            <w:shd w:val="clear" w:color="auto" w:fill="auto"/>
          </w:tcPr>
          <w:p w14:paraId="77D718B6" w14:textId="77777777" w:rsidR="00B43F63" w:rsidRPr="00F358FC" w:rsidRDefault="00B43F63" w:rsidP="00725E89">
            <w:pPr>
              <w:autoSpaceDE w:val="0"/>
              <w:autoSpaceDN w:val="0"/>
              <w:adjustRightInd w:val="0"/>
              <w:rPr>
                <w:rFonts w:ascii="Century Gothic" w:hAnsi="Century Gothic" w:cs="CenturyGothic"/>
                <w:sz w:val="14"/>
                <w:szCs w:val="18"/>
                <w:lang w:val="es-ES"/>
              </w:rPr>
            </w:pPr>
            <w:r>
              <w:rPr>
                <w:rFonts w:ascii="Century Gothic" w:hAnsi="Century Gothic" w:cs="CenturyGothic"/>
                <w:sz w:val="14"/>
                <w:szCs w:val="18"/>
                <w:lang w:val="es-ES"/>
              </w:rPr>
              <w:t>Híbrido</w:t>
            </w:r>
          </w:p>
        </w:tc>
        <w:tc>
          <w:tcPr>
            <w:tcW w:w="2083" w:type="dxa"/>
            <w:vMerge/>
            <w:shd w:val="clear" w:color="auto" w:fill="auto"/>
          </w:tcPr>
          <w:p w14:paraId="11DBF7CE"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7D2393D2" w14:textId="77777777" w:rsidTr="00725E89">
        <w:trPr>
          <w:jc w:val="center"/>
        </w:trPr>
        <w:tc>
          <w:tcPr>
            <w:tcW w:w="931" w:type="dxa"/>
            <w:vMerge/>
            <w:shd w:val="clear" w:color="auto" w:fill="auto"/>
          </w:tcPr>
          <w:p w14:paraId="2591C8C5"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64D0018F"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1AD8BC8B"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Motor</w:t>
            </w:r>
          </w:p>
        </w:tc>
        <w:tc>
          <w:tcPr>
            <w:tcW w:w="3735" w:type="dxa"/>
            <w:shd w:val="clear" w:color="auto" w:fill="auto"/>
          </w:tcPr>
          <w:p w14:paraId="07C5E210"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Combustión </w:t>
            </w:r>
            <w:r>
              <w:rPr>
                <w:rFonts w:ascii="Century Gothic" w:hAnsi="Century Gothic" w:cs="CenturyGothic"/>
                <w:sz w:val="14"/>
                <w:szCs w:val="18"/>
                <w:lang w:val="es-ES"/>
              </w:rPr>
              <w:t>d</w:t>
            </w:r>
            <w:r w:rsidRPr="00F358FC">
              <w:rPr>
                <w:rFonts w:ascii="Century Gothic" w:hAnsi="Century Gothic" w:cs="CenturyGothic"/>
                <w:sz w:val="14"/>
                <w:szCs w:val="18"/>
                <w:lang w:val="es-ES"/>
              </w:rPr>
              <w:t>e 2.5 litros a no más de 3.0</w:t>
            </w:r>
          </w:p>
        </w:tc>
        <w:tc>
          <w:tcPr>
            <w:tcW w:w="2083" w:type="dxa"/>
            <w:vMerge/>
            <w:shd w:val="clear" w:color="auto" w:fill="auto"/>
          </w:tcPr>
          <w:p w14:paraId="4D7E30D1"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7918EE03" w14:textId="77777777" w:rsidTr="00725E89">
        <w:trPr>
          <w:jc w:val="center"/>
        </w:trPr>
        <w:tc>
          <w:tcPr>
            <w:tcW w:w="931" w:type="dxa"/>
            <w:vMerge/>
            <w:shd w:val="clear" w:color="auto" w:fill="auto"/>
          </w:tcPr>
          <w:p w14:paraId="58EACD95"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42DDB55B"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4E8330EF"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Cilindros</w:t>
            </w:r>
          </w:p>
        </w:tc>
        <w:tc>
          <w:tcPr>
            <w:tcW w:w="3735" w:type="dxa"/>
            <w:shd w:val="clear" w:color="auto" w:fill="auto"/>
          </w:tcPr>
          <w:p w14:paraId="19F9289A"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4</w:t>
            </w:r>
            <w:r>
              <w:rPr>
                <w:rFonts w:ascii="Century Gothic" w:hAnsi="Century Gothic" w:cs="CenturyGothic"/>
                <w:sz w:val="14"/>
                <w:szCs w:val="18"/>
                <w:lang w:val="es-ES"/>
              </w:rPr>
              <w:t xml:space="preserve"> </w:t>
            </w:r>
          </w:p>
        </w:tc>
        <w:tc>
          <w:tcPr>
            <w:tcW w:w="2083" w:type="dxa"/>
            <w:vMerge/>
            <w:shd w:val="clear" w:color="auto" w:fill="auto"/>
          </w:tcPr>
          <w:p w14:paraId="06976561"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6A9B7240" w14:textId="77777777" w:rsidTr="00725E89">
        <w:trPr>
          <w:jc w:val="center"/>
        </w:trPr>
        <w:tc>
          <w:tcPr>
            <w:tcW w:w="931" w:type="dxa"/>
            <w:vMerge/>
            <w:shd w:val="clear" w:color="auto" w:fill="auto"/>
          </w:tcPr>
          <w:p w14:paraId="4C6FD6A2"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7989F444"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3C6CD8BA"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Transmisión</w:t>
            </w:r>
          </w:p>
        </w:tc>
        <w:tc>
          <w:tcPr>
            <w:tcW w:w="3735" w:type="dxa"/>
            <w:shd w:val="clear" w:color="auto" w:fill="auto"/>
          </w:tcPr>
          <w:p w14:paraId="36C33382"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Automática</w:t>
            </w:r>
          </w:p>
        </w:tc>
        <w:tc>
          <w:tcPr>
            <w:tcW w:w="2083" w:type="dxa"/>
            <w:vMerge/>
            <w:shd w:val="clear" w:color="auto" w:fill="auto"/>
          </w:tcPr>
          <w:p w14:paraId="799BD731"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4950B173" w14:textId="77777777" w:rsidTr="00725E89">
        <w:trPr>
          <w:jc w:val="center"/>
        </w:trPr>
        <w:tc>
          <w:tcPr>
            <w:tcW w:w="931" w:type="dxa"/>
            <w:vMerge/>
            <w:shd w:val="clear" w:color="auto" w:fill="auto"/>
          </w:tcPr>
          <w:p w14:paraId="687B0067"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51CB529F"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002D8A7D"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Gomas</w:t>
            </w:r>
          </w:p>
        </w:tc>
        <w:tc>
          <w:tcPr>
            <w:tcW w:w="3735" w:type="dxa"/>
            <w:shd w:val="clear" w:color="auto" w:fill="auto"/>
          </w:tcPr>
          <w:p w14:paraId="6E268006"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Aros de 17 a 19 pulgadas</w:t>
            </w:r>
          </w:p>
          <w:p w14:paraId="560A633C"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Goma de repuesto</w:t>
            </w:r>
          </w:p>
        </w:tc>
        <w:tc>
          <w:tcPr>
            <w:tcW w:w="2083" w:type="dxa"/>
            <w:vMerge/>
            <w:shd w:val="clear" w:color="auto" w:fill="auto"/>
          </w:tcPr>
          <w:p w14:paraId="678DE32A"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5E9D82B5" w14:textId="77777777" w:rsidTr="00725E89">
        <w:trPr>
          <w:jc w:val="center"/>
        </w:trPr>
        <w:tc>
          <w:tcPr>
            <w:tcW w:w="931" w:type="dxa"/>
            <w:vMerge/>
            <w:shd w:val="clear" w:color="auto" w:fill="auto"/>
          </w:tcPr>
          <w:p w14:paraId="37B477E6"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21687458"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3F4419E1"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Color</w:t>
            </w:r>
          </w:p>
        </w:tc>
        <w:tc>
          <w:tcPr>
            <w:tcW w:w="3735" w:type="dxa"/>
            <w:shd w:val="clear" w:color="auto" w:fill="auto"/>
          </w:tcPr>
          <w:p w14:paraId="32A19246"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Negro, gris o azul oscuro</w:t>
            </w:r>
          </w:p>
        </w:tc>
        <w:tc>
          <w:tcPr>
            <w:tcW w:w="2083" w:type="dxa"/>
            <w:vMerge/>
            <w:shd w:val="clear" w:color="auto" w:fill="auto"/>
          </w:tcPr>
          <w:p w14:paraId="7B75507B"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3473F3DE" w14:textId="77777777" w:rsidTr="00725E89">
        <w:trPr>
          <w:jc w:val="center"/>
        </w:trPr>
        <w:tc>
          <w:tcPr>
            <w:tcW w:w="931" w:type="dxa"/>
            <w:vMerge/>
            <w:shd w:val="clear" w:color="auto" w:fill="auto"/>
          </w:tcPr>
          <w:p w14:paraId="5BAC35B1"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78949C44"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783BDC27"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Bolsas de Aire</w:t>
            </w:r>
          </w:p>
        </w:tc>
        <w:tc>
          <w:tcPr>
            <w:tcW w:w="3735" w:type="dxa"/>
            <w:shd w:val="clear" w:color="auto" w:fill="auto"/>
          </w:tcPr>
          <w:p w14:paraId="2B79C353"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No menos de </w:t>
            </w:r>
            <w:r>
              <w:rPr>
                <w:rFonts w:ascii="Century Gothic" w:hAnsi="Century Gothic" w:cs="CenturyGothic"/>
                <w:sz w:val="14"/>
                <w:szCs w:val="18"/>
                <w:lang w:val="es-ES"/>
              </w:rPr>
              <w:t>seis</w:t>
            </w:r>
          </w:p>
        </w:tc>
        <w:tc>
          <w:tcPr>
            <w:tcW w:w="2083" w:type="dxa"/>
            <w:vMerge/>
            <w:shd w:val="clear" w:color="auto" w:fill="auto"/>
          </w:tcPr>
          <w:p w14:paraId="79470411"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3F5187ED" w14:textId="77777777" w:rsidTr="00725E89">
        <w:trPr>
          <w:jc w:val="center"/>
        </w:trPr>
        <w:tc>
          <w:tcPr>
            <w:tcW w:w="931" w:type="dxa"/>
            <w:vMerge/>
            <w:shd w:val="clear" w:color="auto" w:fill="auto"/>
          </w:tcPr>
          <w:p w14:paraId="5F5F5082"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66A0624B"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31E7B3A2"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Seguros </w:t>
            </w:r>
          </w:p>
        </w:tc>
        <w:tc>
          <w:tcPr>
            <w:tcW w:w="3735" w:type="dxa"/>
            <w:shd w:val="clear" w:color="auto" w:fill="auto"/>
          </w:tcPr>
          <w:p w14:paraId="20E32645"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Eléctricos</w:t>
            </w:r>
          </w:p>
        </w:tc>
        <w:tc>
          <w:tcPr>
            <w:tcW w:w="2083" w:type="dxa"/>
            <w:vMerge/>
            <w:shd w:val="clear" w:color="auto" w:fill="auto"/>
          </w:tcPr>
          <w:p w14:paraId="453FE56E"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330804A8" w14:textId="77777777" w:rsidTr="00725E89">
        <w:trPr>
          <w:jc w:val="center"/>
        </w:trPr>
        <w:tc>
          <w:tcPr>
            <w:tcW w:w="931" w:type="dxa"/>
            <w:vMerge/>
            <w:shd w:val="clear" w:color="auto" w:fill="auto"/>
          </w:tcPr>
          <w:p w14:paraId="35D85635"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476FF131"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2C84B8A6"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Retrovisores</w:t>
            </w:r>
          </w:p>
        </w:tc>
        <w:tc>
          <w:tcPr>
            <w:tcW w:w="3735" w:type="dxa"/>
            <w:shd w:val="clear" w:color="auto" w:fill="auto"/>
          </w:tcPr>
          <w:p w14:paraId="7AAC7598"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Electrónicos</w:t>
            </w:r>
          </w:p>
        </w:tc>
        <w:tc>
          <w:tcPr>
            <w:tcW w:w="2083" w:type="dxa"/>
            <w:vMerge/>
            <w:shd w:val="clear" w:color="auto" w:fill="auto"/>
          </w:tcPr>
          <w:p w14:paraId="45283863"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3291A4E0" w14:textId="77777777" w:rsidTr="00725E89">
        <w:trPr>
          <w:jc w:val="center"/>
        </w:trPr>
        <w:tc>
          <w:tcPr>
            <w:tcW w:w="931" w:type="dxa"/>
            <w:vMerge/>
            <w:shd w:val="clear" w:color="auto" w:fill="auto"/>
          </w:tcPr>
          <w:p w14:paraId="55A780F0"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160A6436"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27B32A1C"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Vidrios</w:t>
            </w:r>
          </w:p>
        </w:tc>
        <w:tc>
          <w:tcPr>
            <w:tcW w:w="3735" w:type="dxa"/>
            <w:shd w:val="clear" w:color="auto" w:fill="auto"/>
          </w:tcPr>
          <w:p w14:paraId="1F633A62"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Eléctricos </w:t>
            </w:r>
          </w:p>
        </w:tc>
        <w:tc>
          <w:tcPr>
            <w:tcW w:w="2083" w:type="dxa"/>
            <w:vMerge/>
            <w:shd w:val="clear" w:color="auto" w:fill="auto"/>
          </w:tcPr>
          <w:p w14:paraId="3CC37CA5"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02492D49" w14:textId="77777777" w:rsidTr="00725E89">
        <w:trPr>
          <w:jc w:val="center"/>
        </w:trPr>
        <w:tc>
          <w:tcPr>
            <w:tcW w:w="931" w:type="dxa"/>
            <w:vMerge/>
            <w:shd w:val="clear" w:color="auto" w:fill="auto"/>
          </w:tcPr>
          <w:p w14:paraId="186F0489"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760DC978"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09F6E84C"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Radio</w:t>
            </w:r>
          </w:p>
        </w:tc>
        <w:tc>
          <w:tcPr>
            <w:tcW w:w="3735" w:type="dxa"/>
            <w:shd w:val="clear" w:color="auto" w:fill="auto"/>
          </w:tcPr>
          <w:p w14:paraId="603A6E12"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Incluido</w:t>
            </w:r>
          </w:p>
        </w:tc>
        <w:tc>
          <w:tcPr>
            <w:tcW w:w="2083" w:type="dxa"/>
            <w:vMerge/>
            <w:shd w:val="clear" w:color="auto" w:fill="auto"/>
          </w:tcPr>
          <w:p w14:paraId="3C9D86CD"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68B8D713" w14:textId="77777777" w:rsidTr="00725E89">
        <w:trPr>
          <w:jc w:val="center"/>
        </w:trPr>
        <w:tc>
          <w:tcPr>
            <w:tcW w:w="931" w:type="dxa"/>
            <w:vMerge/>
            <w:shd w:val="clear" w:color="auto" w:fill="auto"/>
          </w:tcPr>
          <w:p w14:paraId="4C5AEF95"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57A60B76"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181280AA"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Cinturones de Seguridad</w:t>
            </w:r>
          </w:p>
        </w:tc>
        <w:tc>
          <w:tcPr>
            <w:tcW w:w="3735" w:type="dxa"/>
            <w:shd w:val="clear" w:color="auto" w:fill="auto"/>
          </w:tcPr>
          <w:p w14:paraId="18DEC896"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En todos los asientos</w:t>
            </w:r>
          </w:p>
        </w:tc>
        <w:tc>
          <w:tcPr>
            <w:tcW w:w="2083" w:type="dxa"/>
            <w:vMerge/>
            <w:shd w:val="clear" w:color="auto" w:fill="auto"/>
          </w:tcPr>
          <w:p w14:paraId="35C1D944"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29C7256B" w14:textId="77777777" w:rsidTr="00725E89">
        <w:trPr>
          <w:jc w:val="center"/>
        </w:trPr>
        <w:tc>
          <w:tcPr>
            <w:tcW w:w="931" w:type="dxa"/>
            <w:vMerge/>
            <w:shd w:val="clear" w:color="auto" w:fill="auto"/>
          </w:tcPr>
          <w:p w14:paraId="161FD7C9"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5EA5F25D"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1F4FCA68"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Características</w:t>
            </w:r>
          </w:p>
          <w:p w14:paraId="5314AB7B"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generales y accesorios</w:t>
            </w:r>
          </w:p>
        </w:tc>
        <w:tc>
          <w:tcPr>
            <w:tcW w:w="3735" w:type="dxa"/>
            <w:shd w:val="clear" w:color="auto" w:fill="auto"/>
          </w:tcPr>
          <w:p w14:paraId="5B037442"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Aire Acondicionado</w:t>
            </w:r>
          </w:p>
          <w:p w14:paraId="2E8FFB5E"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Cámara de reversa</w:t>
            </w:r>
          </w:p>
          <w:p w14:paraId="64AB147F"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Sensores de parqueo delanteros y reversos</w:t>
            </w:r>
          </w:p>
          <w:p w14:paraId="123E33B1"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Sistema inmovilizador</w:t>
            </w:r>
          </w:p>
          <w:p w14:paraId="7751C1D3"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Kit de herramientas</w:t>
            </w:r>
          </w:p>
          <w:p w14:paraId="1685A228"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Limpiavidrios delanteros y traseros</w:t>
            </w:r>
          </w:p>
          <w:p w14:paraId="1FAA9E97"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Alfombras delantera y trasera</w:t>
            </w:r>
          </w:p>
          <w:p w14:paraId="6F92DA53"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Llave inteligente con encendido por botón</w:t>
            </w:r>
          </w:p>
          <w:p w14:paraId="6FCE8953"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Asientos piel o piel sintética</w:t>
            </w:r>
          </w:p>
          <w:p w14:paraId="61773A00"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2083" w:type="dxa"/>
            <w:vMerge/>
            <w:shd w:val="clear" w:color="auto" w:fill="auto"/>
          </w:tcPr>
          <w:p w14:paraId="35F8EDCA"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123A6F0C" w14:textId="77777777" w:rsidTr="00725E89">
        <w:trPr>
          <w:jc w:val="center"/>
        </w:trPr>
        <w:tc>
          <w:tcPr>
            <w:tcW w:w="931" w:type="dxa"/>
            <w:vMerge/>
            <w:shd w:val="clear" w:color="auto" w:fill="auto"/>
          </w:tcPr>
          <w:p w14:paraId="57F334D7"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283EF413"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122639D2"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Luces y Faros</w:t>
            </w:r>
          </w:p>
        </w:tc>
        <w:tc>
          <w:tcPr>
            <w:tcW w:w="3735" w:type="dxa"/>
            <w:shd w:val="clear" w:color="auto" w:fill="auto"/>
          </w:tcPr>
          <w:p w14:paraId="5F84FA9D"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Luces Delanteras y faros posteriores Led</w:t>
            </w:r>
          </w:p>
        </w:tc>
        <w:tc>
          <w:tcPr>
            <w:tcW w:w="2083" w:type="dxa"/>
            <w:vMerge/>
            <w:shd w:val="clear" w:color="auto" w:fill="auto"/>
          </w:tcPr>
          <w:p w14:paraId="0B8F4443"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46A3D82D" w14:textId="77777777" w:rsidTr="00725E89">
        <w:trPr>
          <w:jc w:val="center"/>
        </w:trPr>
        <w:tc>
          <w:tcPr>
            <w:tcW w:w="931" w:type="dxa"/>
            <w:vMerge/>
            <w:shd w:val="clear" w:color="auto" w:fill="auto"/>
          </w:tcPr>
          <w:p w14:paraId="66C2D561"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5B80E904"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7B78252D"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Seguridad</w:t>
            </w:r>
          </w:p>
        </w:tc>
        <w:tc>
          <w:tcPr>
            <w:tcW w:w="3735" w:type="dxa"/>
            <w:shd w:val="clear" w:color="auto" w:fill="auto"/>
          </w:tcPr>
          <w:p w14:paraId="4B3730AC"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Distribución de frenado electrónico (EBD)</w:t>
            </w:r>
          </w:p>
          <w:p w14:paraId="1F53241B"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Sistema de frenado con antibloqueo (ABS)</w:t>
            </w:r>
          </w:p>
        </w:tc>
        <w:tc>
          <w:tcPr>
            <w:tcW w:w="2083" w:type="dxa"/>
            <w:vMerge/>
            <w:shd w:val="clear" w:color="auto" w:fill="auto"/>
          </w:tcPr>
          <w:p w14:paraId="539CEFAE"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bl>
    <w:p w14:paraId="16A91AC1" w14:textId="77777777" w:rsidR="00B43F63" w:rsidRDefault="00B43F63" w:rsidP="00B43F63">
      <w:pPr>
        <w:jc w:val="both"/>
        <w:rPr>
          <w:rFonts w:ascii="Century Gothic" w:hAnsi="Century Gothic" w:cstheme="majorHAnsi"/>
          <w:sz w:val="20"/>
          <w:szCs w:val="20"/>
          <w:lang w:val="es-ES"/>
        </w:rPr>
      </w:pPr>
    </w:p>
    <w:p w14:paraId="707420DF" w14:textId="77777777" w:rsidR="00B43F63" w:rsidRPr="00E46814" w:rsidRDefault="00B43F63" w:rsidP="00B43F63">
      <w:pPr>
        <w:jc w:val="both"/>
        <w:rPr>
          <w:rFonts w:ascii="Century Gothic" w:hAnsi="Century Gothic" w:cstheme="majorHAnsi"/>
          <w:sz w:val="20"/>
          <w:szCs w:val="20"/>
          <w:lang w:val="es-ES"/>
        </w:rPr>
      </w:pPr>
    </w:p>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F1784">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2F178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6FCA58F8"/>
    <w:multiLevelType w:val="hybridMultilevel"/>
    <w:tmpl w:val="83ACBFDE"/>
    <w:lvl w:ilvl="0" w:tplc="92DEDAAC">
      <w:start w:val="2023"/>
      <w:numFmt w:val="bullet"/>
      <w:lvlText w:val="-"/>
      <w:lvlJc w:val="left"/>
      <w:pPr>
        <w:ind w:left="720" w:hanging="360"/>
      </w:pPr>
      <w:rPr>
        <w:rFonts w:ascii="Century Gothic" w:eastAsiaTheme="minorHAnsi" w:hAnsi="Century Gothic"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7"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1"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9"/>
  </w:num>
  <w:num w:numId="5">
    <w:abstractNumId w:val="30"/>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8"/>
  </w:num>
  <w:num w:numId="13">
    <w:abstractNumId w:val="16"/>
  </w:num>
  <w:num w:numId="14">
    <w:abstractNumId w:val="32"/>
  </w:num>
  <w:num w:numId="15">
    <w:abstractNumId w:val="29"/>
  </w:num>
  <w:num w:numId="16">
    <w:abstractNumId w:val="19"/>
  </w:num>
  <w:num w:numId="17">
    <w:abstractNumId w:val="25"/>
  </w:num>
  <w:num w:numId="18">
    <w:abstractNumId w:val="27"/>
  </w:num>
  <w:num w:numId="19">
    <w:abstractNumId w:val="7"/>
  </w:num>
  <w:num w:numId="20">
    <w:abstractNumId w:val="31"/>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756DA"/>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43F63"/>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69B0"/>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ListParagraphChar">
    <w:name w:val="List Paragraph Char"/>
    <w:basedOn w:val="DefaultParagraphFont"/>
    <w:link w:val="ListParagraph"/>
    <w:uiPriority w:val="34"/>
    <w:locked/>
    <w:rsid w:val="00B43F63"/>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394BAB"/>
    <w:rsid w:val="00402D87"/>
    <w:rsid w:val="009E3435"/>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522"/>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2493</Words>
  <Characters>14354</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2</cp:revision>
  <cp:lastPrinted>2015-05-19T16:27:00Z</cp:lastPrinted>
  <dcterms:created xsi:type="dcterms:W3CDTF">2023-09-22T18:48:00Z</dcterms:created>
  <dcterms:modified xsi:type="dcterms:W3CDTF">2023-09-22T18:48:00Z</dcterms:modified>
</cp:coreProperties>
</file>