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614ADB45"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r w:rsidR="00542875" w:rsidRPr="00542875">
        <w:rPr>
          <w:rFonts w:asciiTheme="majorHAnsi" w:eastAsia="Calibri" w:hAnsiTheme="majorHAnsi" w:cstheme="majorHAnsi"/>
          <w:b/>
          <w:sz w:val="20"/>
          <w:szCs w:val="16"/>
        </w:rPr>
        <w:t>Renovación de Licencias Informáticas Fortigate y SQL</w:t>
      </w:r>
      <w:r w:rsidR="00542875">
        <w:rPr>
          <w:rFonts w:asciiTheme="majorHAnsi" w:eastAsia="Calibri" w:hAnsiTheme="majorHAnsi" w:cstheme="majorHAnsi"/>
          <w:b/>
          <w:sz w:val="20"/>
          <w:szCs w:val="16"/>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3C625073" w14:textId="16FD39F0"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FF2361">
        <w:rPr>
          <w:rFonts w:asciiTheme="minorHAnsi" w:hAnsiTheme="minorHAnsi" w:cstheme="minorHAnsi"/>
        </w:rPr>
        <w:t>Comparación de Precios</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542875" w:rsidRPr="00542875">
        <w:rPr>
          <w:rFonts w:asciiTheme="minorHAnsi" w:hAnsiTheme="minorHAnsi" w:cstheme="minorHAnsi"/>
          <w:color w:val="000000" w:themeColor="text1"/>
          <w:lang w:val="es-DO" w:eastAsia="en-US"/>
        </w:rPr>
        <w:t>Renovación de Licencias Informáticas Fortigate y SQL</w:t>
      </w:r>
      <w:r w:rsidR="00542875">
        <w:rPr>
          <w:rFonts w:asciiTheme="minorHAnsi" w:hAnsiTheme="minorHAnsi" w:cstheme="minorHAnsi"/>
          <w:color w:val="000000" w:themeColor="text1"/>
          <w:lang w:val="es-DO" w:eastAsia="en-US"/>
        </w:rPr>
        <w:t>.</w:t>
      </w:r>
    </w:p>
    <w:p w14:paraId="0BA45806" w14:textId="77777777" w:rsidR="00542875" w:rsidRDefault="00542875" w:rsidP="00F3638A">
      <w:pPr>
        <w:jc w:val="both"/>
        <w:rPr>
          <w:rFonts w:asciiTheme="minorHAnsi" w:hAnsiTheme="minorHAnsi" w:cstheme="minorHAnsi"/>
          <w:color w:val="000000" w:themeColor="text1"/>
          <w:lang w:val="es-DO" w:eastAsia="en-US"/>
        </w:rPr>
      </w:pPr>
    </w:p>
    <w:p w14:paraId="338BCD91" w14:textId="56E1A91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E24165">
        <w:rPr>
          <w:rFonts w:asciiTheme="minorHAnsi" w:hAnsiTheme="minorHAnsi" w:cstheme="minorHAnsi"/>
          <w:b/>
          <w:bCs/>
        </w:rPr>
        <w:t>XX</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BE8E353"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E148D8" w:rsidRPr="00E148D8">
        <w:rPr>
          <w:rFonts w:asciiTheme="minorHAnsi" w:hAnsiTheme="minorHAnsi" w:cstheme="minorHAnsi"/>
          <w:color w:val="000000" w:themeColor="text1"/>
          <w:lang w:eastAsia="en-US"/>
        </w:rPr>
        <w:t>Renovación de Licencias Informáticas Fortigate y SQL</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968CB44"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FF2361">
        <w:rPr>
          <w:rFonts w:asciiTheme="minorHAnsi" w:hAnsiTheme="minorHAnsi" w:cs="Calibri"/>
          <w:color w:val="000000"/>
          <w:lang w:val="es-DO"/>
        </w:rPr>
        <w:t>el</w:t>
      </w:r>
      <w:r w:rsidR="00E24165">
        <w:rPr>
          <w:rFonts w:asciiTheme="minorHAnsi" w:hAnsiTheme="minorHAnsi" w:cs="Calibri"/>
          <w:color w:val="000000"/>
          <w:lang w:val="es-DO"/>
        </w:rPr>
        <w:t xml:space="preserve"> </w:t>
      </w:r>
      <w:r w:rsidR="00E148D8" w:rsidRPr="00E148D8">
        <w:rPr>
          <w:rFonts w:asciiTheme="minorHAnsi" w:hAnsiTheme="minorHAnsi" w:cs="Calibri"/>
          <w:color w:val="000000"/>
          <w:lang w:val="es-DO"/>
        </w:rPr>
        <w:t>Renovación de Licencias Informáticas Fortigate y SQL</w:t>
      </w:r>
      <w:r w:rsidR="00E148D8">
        <w:rPr>
          <w:rFonts w:asciiTheme="minorHAnsi" w:hAnsiTheme="minorHAnsi" w:cs="Calibri"/>
          <w:color w:val="000000"/>
          <w:lang w:val="es-DO"/>
        </w:rPr>
        <w:t xml:space="preserve"> </w:t>
      </w:r>
      <w:r w:rsidR="004D62BD">
        <w:rPr>
          <w:rFonts w:asciiTheme="minorHAnsi" w:hAnsiTheme="minorHAnsi" w:cs="Calibri"/>
          <w:color w:val="000000"/>
          <w:lang w:val="es-DO"/>
        </w:rPr>
        <w:t xml:space="preserve">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1BEECE47" w:rsidR="00EE4571" w:rsidRDefault="00EE4571" w:rsidP="007E6F3C">
      <w:pPr>
        <w:jc w:val="both"/>
        <w:rPr>
          <w:rFonts w:asciiTheme="majorHAnsi" w:hAnsiTheme="majorHAnsi" w:cstheme="majorHAnsi"/>
          <w:b/>
          <w:sz w:val="18"/>
          <w:szCs w:val="18"/>
          <w:u w:val="single"/>
        </w:rPr>
      </w:pPr>
    </w:p>
    <w:tbl>
      <w:tblPr>
        <w:tblW w:w="97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1031"/>
        <w:gridCol w:w="1051"/>
        <w:gridCol w:w="1382"/>
        <w:gridCol w:w="3194"/>
        <w:gridCol w:w="2570"/>
      </w:tblGrid>
      <w:tr w:rsidR="00B23052" w:rsidRPr="006F000A" w14:paraId="1C23BD39" w14:textId="77777777" w:rsidTr="00391001">
        <w:trPr>
          <w:trHeight w:val="300"/>
        </w:trPr>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8C69997"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rPr>
              <w:t>ítem</w:t>
            </w:r>
            <w:r w:rsidRPr="006F000A">
              <w:rPr>
                <w:rStyle w:val="normaltextrun"/>
                <w:rFonts w:ascii="Arial" w:hAnsi="Arial" w:cs="Arial"/>
                <w:sz w:val="20"/>
                <w:szCs w:val="20"/>
                <w:lang w:val="en-US"/>
              </w:rPr>
              <w:t> </w:t>
            </w:r>
            <w:r w:rsidRPr="006F000A">
              <w:rPr>
                <w:rStyle w:val="eop"/>
                <w:rFonts w:ascii="Century Gothic" w:hAnsi="Century Gothic" w:cs="Calibri"/>
                <w:sz w:val="20"/>
                <w:szCs w:val="20"/>
              </w:rPr>
              <w:t> </w:t>
            </w:r>
          </w:p>
        </w:tc>
        <w:tc>
          <w:tcPr>
            <w:tcW w:w="1031" w:type="dxa"/>
            <w:tcBorders>
              <w:top w:val="single" w:sz="6" w:space="0" w:color="auto"/>
              <w:left w:val="single" w:sz="6" w:space="0" w:color="auto"/>
              <w:bottom w:val="single" w:sz="6" w:space="0" w:color="auto"/>
              <w:right w:val="single" w:sz="6" w:space="0" w:color="auto"/>
            </w:tcBorders>
            <w:shd w:val="clear" w:color="auto" w:fill="auto"/>
            <w:hideMark/>
          </w:tcPr>
          <w:p w14:paraId="55FF1829"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rPr>
              <w:t>Rubro</w:t>
            </w:r>
            <w:r w:rsidRPr="006F000A">
              <w:rPr>
                <w:rStyle w:val="normaltextrun"/>
                <w:rFonts w:ascii="Arial" w:hAnsi="Arial" w:cs="Arial"/>
                <w:sz w:val="20"/>
                <w:szCs w:val="20"/>
                <w:lang w:val="en-US"/>
              </w:rPr>
              <w:t> </w:t>
            </w:r>
            <w:r w:rsidRPr="006F000A">
              <w:rPr>
                <w:rStyle w:val="eop"/>
                <w:rFonts w:ascii="Century Gothic" w:hAnsi="Century Gothic" w:cs="Calibri"/>
                <w:sz w:val="20"/>
                <w:szCs w:val="20"/>
              </w:rPr>
              <w:t> </w:t>
            </w:r>
          </w:p>
        </w:tc>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364EC2B9"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rPr>
              <w:t>Cantidad</w:t>
            </w:r>
            <w:r w:rsidRPr="006F000A">
              <w:rPr>
                <w:rStyle w:val="normaltextrun"/>
                <w:rFonts w:ascii="Arial" w:hAnsi="Arial" w:cs="Arial"/>
                <w:sz w:val="20"/>
                <w:szCs w:val="20"/>
                <w:lang w:val="en-US"/>
              </w:rPr>
              <w:t> </w:t>
            </w:r>
            <w:r w:rsidRPr="006F000A">
              <w:rPr>
                <w:rStyle w:val="eop"/>
                <w:rFonts w:ascii="Century Gothic" w:hAnsi="Century Gothic" w:cs="Calibri"/>
                <w:sz w:val="20"/>
                <w:szCs w:val="20"/>
              </w:rPr>
              <w:t> </w:t>
            </w:r>
          </w:p>
        </w:tc>
        <w:tc>
          <w:tcPr>
            <w:tcW w:w="1382" w:type="dxa"/>
            <w:tcBorders>
              <w:top w:val="single" w:sz="6" w:space="0" w:color="auto"/>
              <w:left w:val="single" w:sz="6" w:space="0" w:color="auto"/>
              <w:bottom w:val="single" w:sz="6" w:space="0" w:color="auto"/>
              <w:right w:val="single" w:sz="6" w:space="0" w:color="auto"/>
            </w:tcBorders>
            <w:shd w:val="clear" w:color="auto" w:fill="auto"/>
            <w:hideMark/>
          </w:tcPr>
          <w:p w14:paraId="06910748"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rPr>
              <w:t>Descripción</w:t>
            </w:r>
            <w:r w:rsidRPr="006F000A">
              <w:rPr>
                <w:rStyle w:val="normaltextrun"/>
                <w:rFonts w:ascii="Arial" w:hAnsi="Arial" w:cs="Arial"/>
                <w:sz w:val="20"/>
                <w:szCs w:val="20"/>
                <w:lang w:val="en-US"/>
              </w:rPr>
              <w:t> </w:t>
            </w:r>
            <w:r w:rsidRPr="006F000A">
              <w:rPr>
                <w:rStyle w:val="eop"/>
                <w:rFonts w:ascii="Century Gothic" w:hAnsi="Century Gothic" w:cs="Calibri"/>
                <w:sz w:val="20"/>
                <w:szCs w:val="20"/>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4D100FE"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rPr>
              <w:t>Especificación técnica</w:t>
            </w:r>
            <w:r w:rsidRPr="006F000A">
              <w:rPr>
                <w:rStyle w:val="normaltextrun"/>
                <w:rFonts w:ascii="Arial" w:hAnsi="Arial" w:cs="Arial"/>
                <w:sz w:val="20"/>
                <w:szCs w:val="20"/>
                <w:lang w:val="en-US"/>
              </w:rPr>
              <w:t> </w:t>
            </w:r>
            <w:r w:rsidRPr="006F000A">
              <w:rPr>
                <w:rStyle w:val="eop"/>
                <w:rFonts w:ascii="Century Gothic" w:hAnsi="Century Gothic" w:cs="Calibri"/>
                <w:sz w:val="20"/>
                <w:szCs w:val="20"/>
              </w:rPr>
              <w:t> </w:t>
            </w:r>
          </w:p>
        </w:tc>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611FCDB7"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sz w:val="20"/>
                <w:szCs w:val="20"/>
                <w:lang w:val="en-US"/>
              </w:rPr>
              <w:t>Soporte</w:t>
            </w:r>
            <w:r w:rsidRPr="006F000A">
              <w:rPr>
                <w:rStyle w:val="eop"/>
                <w:rFonts w:ascii="Century Gothic" w:hAnsi="Century Gothic" w:cs="Calibri"/>
                <w:sz w:val="20"/>
                <w:szCs w:val="20"/>
              </w:rPr>
              <w:t> </w:t>
            </w:r>
          </w:p>
        </w:tc>
      </w:tr>
      <w:tr w:rsidR="00B23052" w:rsidRPr="006F000A" w14:paraId="6C783F57" w14:textId="77777777" w:rsidTr="00391001">
        <w:trPr>
          <w:trHeight w:val="300"/>
        </w:trPr>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221F0216" w14:textId="77777777" w:rsidR="00B23052" w:rsidRPr="006F000A" w:rsidRDefault="00B23052" w:rsidP="00391001">
            <w:pPr>
              <w:pStyle w:val="paragraph"/>
              <w:spacing w:before="0" w:beforeAutospacing="0" w:after="0" w:afterAutospacing="0" w:line="259" w:lineRule="auto"/>
              <w:rPr>
                <w:rFonts w:ascii="Century Gothic" w:hAnsi="Century Gothic"/>
                <w:sz w:val="20"/>
                <w:szCs w:val="20"/>
              </w:rPr>
            </w:pPr>
            <w:r w:rsidRPr="006F000A">
              <w:rPr>
                <w:rStyle w:val="normaltextrun"/>
                <w:rFonts w:ascii="Century Gothic" w:hAnsi="Century Gothic" w:cs="Calibri"/>
                <w:sz w:val="20"/>
                <w:szCs w:val="20"/>
                <w:lang w:val="en-US"/>
              </w:rPr>
              <w:t>1</w:t>
            </w:r>
          </w:p>
        </w:tc>
        <w:tc>
          <w:tcPr>
            <w:tcW w:w="1031" w:type="dxa"/>
            <w:tcBorders>
              <w:top w:val="single" w:sz="6" w:space="0" w:color="auto"/>
              <w:left w:val="single" w:sz="6" w:space="0" w:color="auto"/>
              <w:bottom w:val="single" w:sz="6" w:space="0" w:color="auto"/>
              <w:right w:val="single" w:sz="6" w:space="0" w:color="auto"/>
            </w:tcBorders>
            <w:shd w:val="clear" w:color="auto" w:fill="auto"/>
            <w:hideMark/>
          </w:tcPr>
          <w:p w14:paraId="1A9FB952" w14:textId="77777777" w:rsidR="00B23052" w:rsidRPr="002176DD" w:rsidRDefault="00B23052" w:rsidP="00391001">
            <w:pPr>
              <w:jc w:val="center"/>
              <w:rPr>
                <w:rFonts w:ascii="Century Gothic" w:hAnsi="Century Gothic"/>
                <w:sz w:val="20"/>
                <w:szCs w:val="20"/>
              </w:rPr>
            </w:pPr>
            <w:r w:rsidRPr="002176DD">
              <w:rPr>
                <w:rFonts w:ascii="Century Gothic" w:eastAsia="Calibri" w:hAnsi="Century Gothic" w:cs="Calibri"/>
                <w:color w:val="000000" w:themeColor="text1"/>
                <w:sz w:val="20"/>
                <w:szCs w:val="20"/>
              </w:rPr>
              <w:t>81112501</w:t>
            </w:r>
          </w:p>
        </w:tc>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7C954285" w14:textId="77777777" w:rsidR="00B23052" w:rsidRPr="002176DD" w:rsidRDefault="00B23052" w:rsidP="00391001">
            <w:pPr>
              <w:pStyle w:val="paragraph"/>
              <w:spacing w:before="0" w:beforeAutospacing="0" w:after="0" w:afterAutospacing="0"/>
              <w:textAlignment w:val="baseline"/>
              <w:rPr>
                <w:rFonts w:ascii="Century Gothic" w:hAnsi="Century Gothic" w:cs="Segoe UI"/>
                <w:sz w:val="20"/>
                <w:szCs w:val="20"/>
              </w:rPr>
            </w:pPr>
            <w:r w:rsidRPr="002176DD">
              <w:rPr>
                <w:rStyle w:val="normaltextrun"/>
                <w:rFonts w:ascii="Century Gothic" w:hAnsi="Century Gothic" w:cs="Calibri"/>
                <w:sz w:val="20"/>
                <w:szCs w:val="20"/>
                <w:lang w:val="en-US"/>
              </w:rPr>
              <w:t>2 </w:t>
            </w:r>
            <w:r w:rsidRPr="002176DD">
              <w:rPr>
                <w:rStyle w:val="eop"/>
                <w:rFonts w:ascii="Century Gothic" w:hAnsi="Century Gothic" w:cs="Calibri"/>
                <w:sz w:val="20"/>
                <w:szCs w:val="20"/>
              </w:rPr>
              <w:t> </w:t>
            </w:r>
          </w:p>
        </w:tc>
        <w:tc>
          <w:tcPr>
            <w:tcW w:w="1382" w:type="dxa"/>
            <w:tcBorders>
              <w:top w:val="single" w:sz="6" w:space="0" w:color="auto"/>
              <w:left w:val="single" w:sz="6" w:space="0" w:color="auto"/>
              <w:bottom w:val="single" w:sz="6" w:space="0" w:color="auto"/>
              <w:right w:val="single" w:sz="6" w:space="0" w:color="auto"/>
            </w:tcBorders>
            <w:shd w:val="clear" w:color="auto" w:fill="auto"/>
            <w:hideMark/>
          </w:tcPr>
          <w:p w14:paraId="0525F051" w14:textId="77777777" w:rsidR="00B23052" w:rsidRPr="002176DD" w:rsidRDefault="00B23052" w:rsidP="00391001">
            <w:pPr>
              <w:pStyle w:val="paragraph"/>
              <w:spacing w:before="0" w:beforeAutospacing="0" w:after="0" w:afterAutospacing="0"/>
              <w:textAlignment w:val="baseline"/>
              <w:rPr>
                <w:rFonts w:ascii="Century Gothic" w:hAnsi="Century Gothic" w:cs="Segoe UI"/>
                <w:sz w:val="20"/>
                <w:szCs w:val="20"/>
              </w:rPr>
            </w:pPr>
            <w:r w:rsidRPr="002176DD">
              <w:rPr>
                <w:rStyle w:val="normaltextrun"/>
                <w:rFonts w:ascii="Century Gothic" w:hAnsi="Century Gothic" w:cs="Calibri"/>
                <w:sz w:val="20"/>
                <w:szCs w:val="20"/>
              </w:rPr>
              <w:t>Licencias para FC-10-F32VM-813-02-36</w:t>
            </w:r>
            <w:r w:rsidRPr="002176DD">
              <w:rPr>
                <w:rStyle w:val="eop"/>
                <w:rFonts w:ascii="Century Gothic" w:hAnsi="Century Gothic" w:cs="Calibri"/>
                <w:sz w:val="20"/>
                <w:szCs w:val="20"/>
              </w:rPr>
              <w:t> </w:t>
            </w:r>
          </w:p>
          <w:p w14:paraId="1B80FA9E" w14:textId="77777777" w:rsidR="00B23052" w:rsidRPr="002176DD" w:rsidRDefault="00B23052" w:rsidP="00391001">
            <w:pPr>
              <w:pStyle w:val="paragraph"/>
              <w:spacing w:before="0" w:beforeAutospacing="0" w:after="0" w:afterAutospacing="0"/>
              <w:textAlignment w:val="baseline"/>
              <w:rPr>
                <w:rFonts w:ascii="Century Gothic" w:hAnsi="Century Gothic" w:cs="Segoe UI"/>
                <w:sz w:val="20"/>
                <w:szCs w:val="20"/>
              </w:rPr>
            </w:pPr>
            <w:r w:rsidRPr="002176DD">
              <w:rPr>
                <w:rStyle w:val="normaltextrun"/>
                <w:rFonts w:ascii="Century Gothic" w:hAnsi="Century Gothic" w:cs="Calibri"/>
                <w:sz w:val="20"/>
                <w:szCs w:val="20"/>
              </w:rPr>
              <w:t xml:space="preserve">FortiGate-VM </w:t>
            </w:r>
            <w:r w:rsidRPr="002176DD">
              <w:rPr>
                <w:rStyle w:val="normaltextrun"/>
                <w:rFonts w:ascii="Century Gothic" w:hAnsi="Century Gothic" w:cs="Calibri"/>
                <w:sz w:val="20"/>
                <w:szCs w:val="20"/>
                <w:lang w:val="es-ES"/>
              </w:rPr>
              <w:t xml:space="preserve">Dispositivo </w:t>
            </w:r>
            <w:r w:rsidRPr="002176DD">
              <w:rPr>
                <w:rStyle w:val="normaltextrun"/>
                <w:rFonts w:ascii="Century Gothic" w:hAnsi="Century Gothic" w:cs="Calibri"/>
                <w:sz w:val="20"/>
                <w:szCs w:val="20"/>
              </w:rPr>
              <w:t>virtual</w:t>
            </w:r>
            <w:r w:rsidRPr="002176DD">
              <w:rPr>
                <w:rStyle w:val="normaltextrun"/>
                <w:rFonts w:ascii="Century Gothic" w:hAnsi="Century Gothic" w:cs="Calibri"/>
                <w:sz w:val="20"/>
                <w:szCs w:val="20"/>
                <w:lang w:val="es-ES"/>
              </w:rPr>
              <w:t xml:space="preserve"> Compatible con Nutanix </w:t>
            </w:r>
            <w:r w:rsidRPr="002176DD">
              <w:rPr>
                <w:rStyle w:val="normaltextrun"/>
                <w:rFonts w:ascii="Century Gothic" w:hAnsi="Century Gothic" w:cs="Calibri"/>
                <w:sz w:val="20"/>
                <w:szCs w:val="20"/>
              </w:rPr>
              <w:t>- 32 x vCPU cores   y RAM ilimitada.</w:t>
            </w:r>
            <w:r w:rsidRPr="002176DD">
              <w:rPr>
                <w:rStyle w:val="eop"/>
                <w:rFonts w:ascii="Century Gothic" w:hAnsi="Century Gothic" w:cs="Calibri"/>
                <w:sz w:val="20"/>
                <w:szCs w:val="20"/>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3E1B32CD"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Compatibilidad con la interfaz de red (mínimo / máximo)1 /10.</w:t>
            </w:r>
            <w:r w:rsidRPr="002176DD">
              <w:rPr>
                <w:rStyle w:val="eop"/>
                <w:rFonts w:ascii="Century Gothic" w:hAnsi="Century Gothic" w:cs="Calibri"/>
                <w:sz w:val="20"/>
                <w:szCs w:val="20"/>
              </w:rPr>
              <w:t> </w:t>
            </w:r>
          </w:p>
          <w:p w14:paraId="3478AD2D"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Soporte de memoria (mínimo / máximo) 1 GB / 24 GB.</w:t>
            </w:r>
            <w:r w:rsidRPr="002176DD">
              <w:rPr>
                <w:rStyle w:val="eop"/>
                <w:rFonts w:ascii="Century Gothic" w:hAnsi="Century Gothic" w:cs="Calibri"/>
                <w:sz w:val="20"/>
                <w:szCs w:val="20"/>
              </w:rPr>
              <w:t> </w:t>
            </w:r>
          </w:p>
          <w:p w14:paraId="149874DC"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Soporte de almacenamiento (mínimo / máximo) 32 GB / 2 TB.</w:t>
            </w:r>
            <w:r w:rsidRPr="002176DD">
              <w:rPr>
                <w:rStyle w:val="eop"/>
                <w:rFonts w:ascii="Century Gothic" w:hAnsi="Century Gothic" w:cs="Calibri"/>
                <w:sz w:val="20"/>
                <w:szCs w:val="20"/>
              </w:rPr>
              <w:t> </w:t>
            </w:r>
          </w:p>
          <w:p w14:paraId="37C7E9C6"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Puntos de acceso inalámbricos controlados (túnel / global)1.024 / 4.096.</w:t>
            </w:r>
            <w:r w:rsidRPr="002176DD">
              <w:rPr>
                <w:rStyle w:val="eop"/>
                <w:rFonts w:ascii="Century Gothic" w:hAnsi="Century Gothic" w:cs="Calibri"/>
                <w:sz w:val="20"/>
                <w:szCs w:val="20"/>
              </w:rPr>
              <w:t> </w:t>
            </w:r>
          </w:p>
          <w:p w14:paraId="0B602035"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Dominios virtuales (predeterminado / máximo) 10 / 500.</w:t>
            </w:r>
            <w:r w:rsidRPr="002176DD">
              <w:rPr>
                <w:rStyle w:val="eop"/>
                <w:rFonts w:ascii="Century Gothic" w:hAnsi="Century Gothic" w:cs="Calibri"/>
                <w:sz w:val="20"/>
                <w:szCs w:val="20"/>
              </w:rPr>
              <w:t> </w:t>
            </w:r>
          </w:p>
          <w:p w14:paraId="01C04B7A"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lang w:val="pt-BR"/>
              </w:rPr>
            </w:pPr>
            <w:r w:rsidRPr="002176DD">
              <w:rPr>
                <w:rStyle w:val="normaltextrun"/>
                <w:rFonts w:ascii="Century Gothic" w:hAnsi="Century Gothic" w:cs="Calibri"/>
                <w:sz w:val="20"/>
                <w:szCs w:val="20"/>
                <w:lang w:val="pt-BR"/>
              </w:rPr>
              <w:t>Políticas de firewall (VDOM / Sistema)50,000 / 100,000.</w:t>
            </w:r>
            <w:r w:rsidRPr="002176DD">
              <w:rPr>
                <w:rStyle w:val="eop"/>
                <w:rFonts w:ascii="Century Gothic" w:hAnsi="Century Gothic" w:cs="Calibri"/>
                <w:sz w:val="20"/>
                <w:szCs w:val="20"/>
                <w:lang w:val="pt-BR"/>
              </w:rPr>
              <w:t> </w:t>
            </w:r>
          </w:p>
          <w:p w14:paraId="491C3FF7"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Número máximo de FortiTokens 5,000.</w:t>
            </w:r>
            <w:r w:rsidRPr="002176DD">
              <w:rPr>
                <w:rStyle w:val="eop"/>
                <w:rFonts w:ascii="Century Gothic" w:hAnsi="Century Gothic" w:cs="Calibri"/>
                <w:sz w:val="20"/>
                <w:szCs w:val="20"/>
              </w:rPr>
              <w:t> </w:t>
            </w:r>
          </w:p>
          <w:p w14:paraId="5BCECCDC"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Número máximo de extremos registrados 20.000.</w:t>
            </w:r>
            <w:r w:rsidRPr="002176DD">
              <w:rPr>
                <w:rStyle w:val="eop"/>
                <w:rFonts w:ascii="Century Gothic" w:hAnsi="Century Gothic" w:cs="Calibri"/>
                <w:sz w:val="20"/>
                <w:szCs w:val="20"/>
              </w:rPr>
              <w:t> </w:t>
            </w:r>
          </w:p>
          <w:p w14:paraId="2795F482"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Licencia de usuario ilimitada.</w:t>
            </w:r>
            <w:r w:rsidRPr="002176DD">
              <w:rPr>
                <w:rStyle w:val="eop"/>
                <w:rFonts w:ascii="Century Gothic" w:hAnsi="Century Gothic" w:cs="Calibri"/>
                <w:sz w:val="20"/>
                <w:szCs w:val="20"/>
              </w:rPr>
              <w:t> </w:t>
            </w:r>
          </w:p>
          <w:p w14:paraId="3ED1D7DF"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del firewall (paquetes UDP, SR-IOV habilitado) 36 Gbps.</w:t>
            </w:r>
            <w:r w:rsidRPr="002176DD">
              <w:rPr>
                <w:rStyle w:val="eop"/>
                <w:rFonts w:ascii="Century Gothic" w:hAnsi="Century Gothic" w:cs="Calibri"/>
                <w:sz w:val="20"/>
                <w:szCs w:val="20"/>
              </w:rPr>
              <w:t> </w:t>
            </w:r>
          </w:p>
          <w:p w14:paraId="13536C24"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lastRenderedPageBreak/>
              <w:t>Sesiones simultáneas (TCP)18,0 millones de sesiones nuevas / segundo (TCP)175.000.</w:t>
            </w:r>
            <w:r w:rsidRPr="002176DD">
              <w:rPr>
                <w:rStyle w:val="eop"/>
                <w:rFonts w:ascii="Century Gothic" w:hAnsi="Century Gothic" w:cs="Calibri"/>
                <w:sz w:val="20"/>
                <w:szCs w:val="20"/>
              </w:rPr>
              <w:t> </w:t>
            </w:r>
          </w:p>
          <w:p w14:paraId="02686AA9"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de VPN IPsec (AES256+SHA1, 512 bytes)6,5 Gbps.</w:t>
            </w:r>
            <w:r w:rsidRPr="002176DD">
              <w:rPr>
                <w:rStyle w:val="eop"/>
                <w:rFonts w:ascii="Century Gothic" w:hAnsi="Century Gothic" w:cs="Calibri"/>
                <w:sz w:val="20"/>
                <w:szCs w:val="20"/>
              </w:rPr>
              <w:t> </w:t>
            </w:r>
          </w:p>
          <w:p w14:paraId="7AD0971A"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Túneles VPN IPsec de puerta de enlace a puerta de enlace 40.000.</w:t>
            </w:r>
            <w:r w:rsidRPr="002176DD">
              <w:rPr>
                <w:rStyle w:val="eop"/>
                <w:rFonts w:ascii="Century Gothic" w:hAnsi="Century Gothic" w:cs="Calibri"/>
                <w:sz w:val="20"/>
                <w:szCs w:val="20"/>
              </w:rPr>
              <w:t> </w:t>
            </w:r>
          </w:p>
          <w:p w14:paraId="2F41CC1E"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Túneles VPN IPsec de cliente a puerta de enlace 50.000.</w:t>
            </w:r>
            <w:r w:rsidRPr="002176DD">
              <w:rPr>
                <w:rStyle w:val="eop"/>
                <w:rFonts w:ascii="Century Gothic" w:hAnsi="Century Gothic" w:cs="Calibri"/>
                <w:sz w:val="20"/>
                <w:szCs w:val="20"/>
              </w:rPr>
              <w:t> </w:t>
            </w:r>
          </w:p>
          <w:p w14:paraId="0A405545"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SSL-VPN 8,5 Gbps.</w:t>
            </w:r>
            <w:r w:rsidRPr="002176DD">
              <w:rPr>
                <w:rStyle w:val="eop"/>
                <w:rFonts w:ascii="Century Gothic" w:hAnsi="Century Gothic" w:cs="Calibri"/>
                <w:sz w:val="20"/>
                <w:szCs w:val="20"/>
              </w:rPr>
              <w:t> </w:t>
            </w:r>
          </w:p>
          <w:p w14:paraId="6113FEA6"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Usuarios SSL-VPN simultáneos (máximo recomendado) 25.000.</w:t>
            </w:r>
            <w:r w:rsidRPr="002176DD">
              <w:rPr>
                <w:rStyle w:val="eop"/>
                <w:rFonts w:ascii="Century Gothic" w:hAnsi="Century Gothic" w:cs="Calibri"/>
                <w:sz w:val="20"/>
                <w:szCs w:val="20"/>
              </w:rPr>
              <w:t> </w:t>
            </w:r>
          </w:p>
          <w:p w14:paraId="571D0430"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IPS (HTTP / Enterprise Mix)125.0 Gbps / 12.0 Gbps.</w:t>
            </w:r>
            <w:r w:rsidRPr="002176DD">
              <w:rPr>
                <w:rStyle w:val="eop"/>
                <w:rFonts w:ascii="Century Gothic" w:hAnsi="Century Gothic" w:cs="Calibri"/>
                <w:sz w:val="20"/>
                <w:szCs w:val="20"/>
              </w:rPr>
              <w:t> </w:t>
            </w:r>
          </w:p>
          <w:p w14:paraId="0F369622"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de control de aplicaciones217,0 Gbps.</w:t>
            </w:r>
            <w:r w:rsidRPr="002176DD">
              <w:rPr>
                <w:rStyle w:val="eop"/>
                <w:rFonts w:ascii="Century Gothic" w:hAnsi="Century Gothic" w:cs="Calibri"/>
                <w:sz w:val="20"/>
                <w:szCs w:val="20"/>
              </w:rPr>
              <w:t> </w:t>
            </w:r>
          </w:p>
          <w:p w14:paraId="3C2A5105"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NGFW3 9,0 Gbps.</w:t>
            </w:r>
            <w:r w:rsidRPr="002176DD">
              <w:rPr>
                <w:rStyle w:val="eop"/>
                <w:rFonts w:ascii="Century Gothic" w:hAnsi="Century Gothic" w:cs="Calibri"/>
                <w:sz w:val="20"/>
                <w:szCs w:val="20"/>
              </w:rPr>
              <w:t> </w:t>
            </w:r>
          </w:p>
          <w:p w14:paraId="3E730F46"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s-ES"/>
              </w:rPr>
              <w:t>Rendimiento de la protección contra amenazas.</w:t>
            </w:r>
            <w:r w:rsidRPr="002176DD">
              <w:rPr>
                <w:rStyle w:val="eop"/>
                <w:rFonts w:ascii="Century Gothic" w:hAnsi="Century Gothic" w:cs="Calibri"/>
                <w:sz w:val="20"/>
                <w:szCs w:val="20"/>
              </w:rPr>
              <w:t> </w:t>
            </w:r>
          </w:p>
          <w:p w14:paraId="5F1DBDD4" w14:textId="77777777" w:rsidR="00B23052" w:rsidRPr="002176DD" w:rsidRDefault="00B23052" w:rsidP="00B23052">
            <w:pPr>
              <w:pStyle w:val="paragraph"/>
              <w:numPr>
                <w:ilvl w:val="0"/>
                <w:numId w:val="12"/>
              </w:numPr>
              <w:spacing w:before="0" w:beforeAutospacing="0" w:after="0" w:afterAutospacing="0"/>
              <w:ind w:left="180" w:hanging="180"/>
              <w:textAlignment w:val="baseline"/>
              <w:rPr>
                <w:rStyle w:val="eop"/>
                <w:rFonts w:ascii="Century Gothic" w:hAnsi="Century Gothic" w:cs="Calibri"/>
                <w:sz w:val="20"/>
                <w:szCs w:val="20"/>
              </w:rPr>
            </w:pPr>
            <w:r w:rsidRPr="002176DD">
              <w:rPr>
                <w:rStyle w:val="eop"/>
                <w:rFonts w:ascii="Century Gothic" w:hAnsi="Century Gothic" w:cs="Calibri"/>
                <w:sz w:val="20"/>
                <w:szCs w:val="20"/>
              </w:rPr>
              <w:t>Tiempo de entrega 10 días hábiles</w:t>
            </w:r>
            <w:r w:rsidRPr="002176DD">
              <w:rPr>
                <w:rStyle w:val="eop"/>
                <w:rFonts w:cs="Calibri"/>
              </w:rPr>
              <w:t xml:space="preserve"> </w:t>
            </w:r>
            <w:r w:rsidRPr="002176DD">
              <w:rPr>
                <w:rStyle w:val="eop"/>
                <w:rFonts w:ascii="Century Gothic" w:hAnsi="Century Gothic" w:cs="Calibri"/>
                <w:sz w:val="20"/>
                <w:szCs w:val="20"/>
              </w:rPr>
              <w:t>luego de la certificación del contrato.</w:t>
            </w:r>
          </w:p>
        </w:tc>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13086036" w14:textId="77777777" w:rsidR="00B23052" w:rsidRPr="006F000A" w:rsidRDefault="00B23052" w:rsidP="00391001">
            <w:pPr>
              <w:pStyle w:val="paragraph"/>
              <w:spacing w:before="0" w:beforeAutospacing="0" w:after="0" w:afterAutospacing="0"/>
              <w:textAlignment w:val="baseline"/>
              <w:rPr>
                <w:rFonts w:ascii="Century Gothic" w:hAnsi="Century Gothic" w:cs="Segoe UI"/>
                <w:sz w:val="20"/>
                <w:szCs w:val="20"/>
              </w:rPr>
            </w:pPr>
            <w:r w:rsidRPr="006F000A">
              <w:rPr>
                <w:rStyle w:val="normaltextrun"/>
                <w:rFonts w:ascii="Century Gothic" w:hAnsi="Century Gothic" w:cs="Calibri"/>
                <w:color w:val="000000"/>
                <w:sz w:val="20"/>
                <w:szCs w:val="20"/>
              </w:rPr>
              <w:lastRenderedPageBreak/>
              <w:t>3 años de licencia para #: FC-10-F32VM-813-02-36:</w:t>
            </w:r>
            <w:r w:rsidRPr="006F000A">
              <w:rPr>
                <w:rStyle w:val="eop"/>
                <w:rFonts w:ascii="Century Gothic" w:hAnsi="Century Gothic" w:cs="Calibri"/>
                <w:color w:val="000000"/>
                <w:sz w:val="20"/>
                <w:szCs w:val="20"/>
              </w:rPr>
              <w:t> </w:t>
            </w:r>
          </w:p>
          <w:p w14:paraId="435FA433" w14:textId="77777777" w:rsidR="00B23052" w:rsidRPr="006F000A" w:rsidRDefault="00B23052" w:rsidP="00B23052">
            <w:pPr>
              <w:pStyle w:val="paragraph"/>
              <w:numPr>
                <w:ilvl w:val="0"/>
                <w:numId w:val="13"/>
              </w:numPr>
              <w:spacing w:before="0" w:beforeAutospacing="0" w:after="0" w:afterAutospacing="0"/>
              <w:ind w:left="90" w:hanging="90"/>
              <w:textAlignment w:val="baseline"/>
              <w:rPr>
                <w:rFonts w:ascii="Century Gothic" w:hAnsi="Century Gothic" w:cs="Calibri"/>
                <w:sz w:val="20"/>
                <w:szCs w:val="20"/>
              </w:rPr>
            </w:pPr>
            <w:r w:rsidRPr="006F000A">
              <w:rPr>
                <w:rStyle w:val="normaltextrun"/>
                <w:rFonts w:ascii="Century Gothic" w:hAnsi="Century Gothic" w:cs="Calibri"/>
                <w:color w:val="000000" w:themeColor="text1"/>
                <w:sz w:val="20"/>
                <w:szCs w:val="20"/>
                <w:lang w:val="es-ES"/>
              </w:rPr>
              <w:t>Ofrece todos los servicios de seguridad FortiGuard disponibles para FortiGate, incluida la protección antivirus, web y de correo electrónico.</w:t>
            </w:r>
            <w:r w:rsidRPr="006F000A">
              <w:rPr>
                <w:rStyle w:val="eop"/>
                <w:rFonts w:ascii="Century Gothic" w:hAnsi="Century Gothic" w:cs="Calibri"/>
                <w:color w:val="000000" w:themeColor="text1"/>
                <w:sz w:val="20"/>
                <w:szCs w:val="20"/>
              </w:rPr>
              <w:t> </w:t>
            </w:r>
          </w:p>
          <w:p w14:paraId="472B154A" w14:textId="77777777" w:rsidR="00B23052" w:rsidRPr="006F000A" w:rsidRDefault="00B23052" w:rsidP="00B23052">
            <w:pPr>
              <w:pStyle w:val="paragraph"/>
              <w:numPr>
                <w:ilvl w:val="0"/>
                <w:numId w:val="13"/>
              </w:numPr>
              <w:spacing w:before="0" w:beforeAutospacing="0" w:after="0" w:afterAutospacing="0"/>
              <w:ind w:left="90" w:hanging="90"/>
              <w:textAlignment w:val="baseline"/>
              <w:rPr>
                <w:rFonts w:ascii="Century Gothic" w:hAnsi="Century Gothic" w:cs="Calibri"/>
                <w:sz w:val="20"/>
                <w:szCs w:val="20"/>
              </w:rPr>
            </w:pPr>
            <w:r w:rsidRPr="006F000A">
              <w:rPr>
                <w:rStyle w:val="normaltextrun"/>
                <w:rFonts w:ascii="Century Gothic" w:hAnsi="Century Gothic" w:cs="Calibri"/>
                <w:color w:val="000000" w:themeColor="text1"/>
                <w:sz w:val="20"/>
                <w:szCs w:val="20"/>
                <w:lang w:val="es-ES"/>
              </w:rPr>
              <w:t>CASB, Seguridad Industrial y Calificación de Seguridad.</w:t>
            </w:r>
            <w:r w:rsidRPr="006F000A">
              <w:rPr>
                <w:rStyle w:val="eop"/>
                <w:rFonts w:ascii="Century Gothic" w:hAnsi="Century Gothic" w:cs="Calibri"/>
                <w:color w:val="000000" w:themeColor="text1"/>
                <w:sz w:val="20"/>
                <w:szCs w:val="20"/>
              </w:rPr>
              <w:t> </w:t>
            </w:r>
          </w:p>
          <w:p w14:paraId="5ADC8CC6" w14:textId="77777777" w:rsidR="00B23052" w:rsidRPr="006F000A" w:rsidRDefault="00B23052" w:rsidP="00B23052">
            <w:pPr>
              <w:pStyle w:val="paragraph"/>
              <w:numPr>
                <w:ilvl w:val="0"/>
                <w:numId w:val="13"/>
              </w:numPr>
              <w:spacing w:before="0" w:beforeAutospacing="0" w:after="0" w:afterAutospacing="0"/>
              <w:ind w:left="90" w:hanging="90"/>
              <w:textAlignment w:val="baseline"/>
              <w:rPr>
                <w:rFonts w:ascii="Century Gothic" w:hAnsi="Century Gothic" w:cs="Calibri"/>
                <w:sz w:val="20"/>
                <w:szCs w:val="20"/>
              </w:rPr>
            </w:pPr>
            <w:r w:rsidRPr="006F000A">
              <w:rPr>
                <w:rStyle w:val="normaltextrun"/>
                <w:rFonts w:ascii="Century Gothic" w:hAnsi="Century Gothic" w:cs="Calibri"/>
                <w:color w:val="000000" w:themeColor="text1"/>
                <w:sz w:val="20"/>
                <w:szCs w:val="20"/>
                <w:lang w:val="en-US"/>
              </w:rPr>
              <w:t>FortiSandbox Cloud Service.</w:t>
            </w:r>
            <w:r w:rsidRPr="006F000A">
              <w:rPr>
                <w:rStyle w:val="eop"/>
                <w:rFonts w:ascii="Century Gothic" w:hAnsi="Century Gothic" w:cs="Calibri"/>
                <w:color w:val="000000" w:themeColor="text1"/>
                <w:sz w:val="20"/>
                <w:szCs w:val="20"/>
              </w:rPr>
              <w:t> </w:t>
            </w:r>
          </w:p>
          <w:p w14:paraId="5A11806A" w14:textId="77777777" w:rsidR="00B23052" w:rsidRPr="006F000A" w:rsidRDefault="00B23052" w:rsidP="00B23052">
            <w:pPr>
              <w:pStyle w:val="paragraph"/>
              <w:numPr>
                <w:ilvl w:val="0"/>
                <w:numId w:val="13"/>
              </w:numPr>
              <w:spacing w:before="0" w:beforeAutospacing="0" w:after="0" w:afterAutospacing="0"/>
              <w:ind w:left="90" w:hanging="90"/>
              <w:textAlignment w:val="baseline"/>
              <w:rPr>
                <w:rFonts w:ascii="Century Gothic" w:hAnsi="Century Gothic" w:cs="Calibri"/>
                <w:sz w:val="20"/>
                <w:szCs w:val="20"/>
              </w:rPr>
            </w:pPr>
            <w:r w:rsidRPr="006F000A">
              <w:rPr>
                <w:rStyle w:val="normaltextrun"/>
                <w:rFonts w:ascii="Century Gothic" w:hAnsi="Century Gothic" w:cs="Calibri"/>
                <w:color w:val="000000" w:themeColor="text1"/>
                <w:sz w:val="20"/>
                <w:szCs w:val="20"/>
                <w:lang w:val="es-ES"/>
              </w:rPr>
              <w:t>Soporte técnico FortiCare y reemplazo avanzado de hardware24x7x365</w:t>
            </w:r>
            <w:r w:rsidRPr="006F000A">
              <w:rPr>
                <w:rStyle w:val="eop"/>
                <w:rFonts w:ascii="Century Gothic" w:hAnsi="Century Gothic" w:cs="Calibri"/>
                <w:color w:val="000000" w:themeColor="text1"/>
                <w:sz w:val="20"/>
                <w:szCs w:val="20"/>
              </w:rPr>
              <w:t> </w:t>
            </w:r>
          </w:p>
        </w:tc>
      </w:tr>
      <w:tr w:rsidR="00B23052" w:rsidRPr="006F000A" w14:paraId="4BC8E4DB" w14:textId="77777777" w:rsidTr="00391001">
        <w:trPr>
          <w:trHeight w:val="300"/>
        </w:trPr>
        <w:tc>
          <w:tcPr>
            <w:tcW w:w="536" w:type="dxa"/>
            <w:tcBorders>
              <w:top w:val="single" w:sz="6" w:space="0" w:color="auto"/>
              <w:left w:val="single" w:sz="6" w:space="0" w:color="auto"/>
              <w:bottom w:val="single" w:sz="6" w:space="0" w:color="auto"/>
              <w:right w:val="single" w:sz="6" w:space="0" w:color="auto"/>
            </w:tcBorders>
            <w:shd w:val="clear" w:color="auto" w:fill="auto"/>
            <w:hideMark/>
          </w:tcPr>
          <w:p w14:paraId="5C22EED4" w14:textId="77777777" w:rsidR="00B23052" w:rsidRPr="006F000A" w:rsidRDefault="00B23052" w:rsidP="00391001">
            <w:pPr>
              <w:pStyle w:val="paragraph"/>
              <w:spacing w:before="0" w:beforeAutospacing="0" w:after="0" w:afterAutospacing="0"/>
              <w:jc w:val="right"/>
              <w:textAlignment w:val="baseline"/>
              <w:rPr>
                <w:rFonts w:ascii="Century Gothic" w:hAnsi="Century Gothic" w:cs="Segoe UI"/>
                <w:sz w:val="20"/>
                <w:szCs w:val="20"/>
              </w:rPr>
            </w:pPr>
            <w:r w:rsidRPr="006F000A">
              <w:rPr>
                <w:rStyle w:val="eop"/>
                <w:rFonts w:ascii="Century Gothic" w:hAnsi="Century Gothic" w:cs="Calibri"/>
                <w:sz w:val="20"/>
                <w:szCs w:val="20"/>
              </w:rPr>
              <w:t>2 </w:t>
            </w:r>
          </w:p>
        </w:tc>
        <w:tc>
          <w:tcPr>
            <w:tcW w:w="1031" w:type="dxa"/>
            <w:tcBorders>
              <w:top w:val="single" w:sz="6" w:space="0" w:color="auto"/>
              <w:left w:val="single" w:sz="6" w:space="0" w:color="auto"/>
              <w:bottom w:val="single" w:sz="6" w:space="0" w:color="auto"/>
              <w:right w:val="single" w:sz="6" w:space="0" w:color="auto"/>
            </w:tcBorders>
            <w:shd w:val="clear" w:color="auto" w:fill="auto"/>
            <w:hideMark/>
          </w:tcPr>
          <w:p w14:paraId="43312F87" w14:textId="77777777" w:rsidR="00B23052" w:rsidRPr="002176DD" w:rsidRDefault="00B23052" w:rsidP="00391001">
            <w:pPr>
              <w:jc w:val="center"/>
              <w:rPr>
                <w:rFonts w:ascii="Century Gothic" w:hAnsi="Century Gothic"/>
                <w:sz w:val="20"/>
                <w:szCs w:val="20"/>
              </w:rPr>
            </w:pPr>
            <w:r w:rsidRPr="002176DD">
              <w:rPr>
                <w:rFonts w:ascii="Century Gothic" w:eastAsia="Calibri" w:hAnsi="Century Gothic" w:cs="Calibri"/>
                <w:color w:val="000000" w:themeColor="text1"/>
                <w:sz w:val="20"/>
                <w:szCs w:val="20"/>
              </w:rPr>
              <w:t>81112501</w:t>
            </w:r>
          </w:p>
        </w:tc>
        <w:tc>
          <w:tcPr>
            <w:tcW w:w="1051" w:type="dxa"/>
            <w:tcBorders>
              <w:top w:val="single" w:sz="6" w:space="0" w:color="auto"/>
              <w:left w:val="single" w:sz="6" w:space="0" w:color="auto"/>
              <w:bottom w:val="single" w:sz="6" w:space="0" w:color="auto"/>
              <w:right w:val="single" w:sz="6" w:space="0" w:color="auto"/>
            </w:tcBorders>
            <w:shd w:val="clear" w:color="auto" w:fill="auto"/>
            <w:hideMark/>
          </w:tcPr>
          <w:p w14:paraId="50F93931" w14:textId="77777777" w:rsidR="00B23052" w:rsidRPr="002176DD" w:rsidRDefault="00B23052" w:rsidP="00391001">
            <w:pPr>
              <w:pStyle w:val="paragraph"/>
              <w:spacing w:before="0" w:beforeAutospacing="0" w:after="0" w:afterAutospacing="0"/>
              <w:jc w:val="both"/>
              <w:textAlignment w:val="baseline"/>
              <w:rPr>
                <w:rFonts w:ascii="Century Gothic" w:hAnsi="Century Gothic" w:cs="Segoe UI"/>
                <w:sz w:val="20"/>
                <w:szCs w:val="20"/>
              </w:rPr>
            </w:pPr>
            <w:r w:rsidRPr="002176DD">
              <w:rPr>
                <w:rStyle w:val="normaltextrun"/>
                <w:rFonts w:ascii="Century Gothic" w:hAnsi="Century Gothic" w:cs="Calibri"/>
                <w:sz w:val="20"/>
                <w:szCs w:val="20"/>
                <w:lang w:val="en-US"/>
              </w:rPr>
              <w:t>1</w:t>
            </w:r>
            <w:r w:rsidRPr="002176DD">
              <w:rPr>
                <w:rStyle w:val="eop"/>
                <w:rFonts w:ascii="Century Gothic" w:hAnsi="Century Gothic" w:cs="Calibri"/>
                <w:sz w:val="20"/>
                <w:szCs w:val="20"/>
              </w:rPr>
              <w:t> </w:t>
            </w:r>
          </w:p>
        </w:tc>
        <w:tc>
          <w:tcPr>
            <w:tcW w:w="1382" w:type="dxa"/>
            <w:tcBorders>
              <w:top w:val="single" w:sz="6" w:space="0" w:color="auto"/>
              <w:left w:val="single" w:sz="6" w:space="0" w:color="auto"/>
              <w:bottom w:val="single" w:sz="6" w:space="0" w:color="auto"/>
              <w:right w:val="single" w:sz="6" w:space="0" w:color="auto"/>
            </w:tcBorders>
            <w:shd w:val="clear" w:color="auto" w:fill="auto"/>
            <w:hideMark/>
          </w:tcPr>
          <w:p w14:paraId="0413DCE7" w14:textId="77777777" w:rsidR="00B23052" w:rsidRPr="002176DD" w:rsidRDefault="00B23052" w:rsidP="00391001">
            <w:pPr>
              <w:pStyle w:val="paragraph"/>
              <w:spacing w:before="0" w:beforeAutospacing="0" w:after="0" w:afterAutospacing="0"/>
              <w:jc w:val="both"/>
              <w:textAlignment w:val="baseline"/>
              <w:rPr>
                <w:rFonts w:ascii="Century Gothic" w:hAnsi="Century Gothic" w:cs="Segoe UI"/>
                <w:sz w:val="20"/>
                <w:szCs w:val="20"/>
              </w:rPr>
            </w:pPr>
            <w:r w:rsidRPr="002176DD">
              <w:rPr>
                <w:rStyle w:val="normaltextrun"/>
                <w:rFonts w:ascii="Century Gothic" w:hAnsi="Century Gothic" w:cs="Calibri"/>
                <w:sz w:val="20"/>
                <w:szCs w:val="20"/>
              </w:rPr>
              <w:t>Renovación de Soporte Licencias de PL/SQL Developer</w:t>
            </w:r>
            <w:r w:rsidRPr="002176DD">
              <w:rPr>
                <w:rStyle w:val="eop"/>
                <w:rFonts w:ascii="Century Gothic" w:hAnsi="Century Gothic" w:cs="Calibri"/>
                <w:sz w:val="20"/>
                <w:szCs w:val="20"/>
              </w:rPr>
              <w:t> </w:t>
            </w:r>
          </w:p>
        </w:tc>
        <w:tc>
          <w:tcPr>
            <w:tcW w:w="3195" w:type="dxa"/>
            <w:tcBorders>
              <w:top w:val="single" w:sz="6" w:space="0" w:color="auto"/>
              <w:left w:val="single" w:sz="6" w:space="0" w:color="auto"/>
              <w:bottom w:val="single" w:sz="6" w:space="0" w:color="auto"/>
              <w:right w:val="single" w:sz="6" w:space="0" w:color="auto"/>
            </w:tcBorders>
            <w:shd w:val="clear" w:color="auto" w:fill="auto"/>
            <w:hideMark/>
          </w:tcPr>
          <w:p w14:paraId="090E4411" w14:textId="77777777" w:rsidR="00B23052" w:rsidRPr="002176DD" w:rsidRDefault="00B23052" w:rsidP="00B23052">
            <w:pPr>
              <w:pStyle w:val="paragraph"/>
              <w:numPr>
                <w:ilvl w:val="0"/>
                <w:numId w:val="14"/>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rPr>
              <w:t>Renovación del derecho de uso por un año (Annual Maintenance Renewal)</w:t>
            </w:r>
            <w:r w:rsidRPr="002176DD">
              <w:rPr>
                <w:rStyle w:val="eop"/>
                <w:rFonts w:ascii="Century Gothic" w:hAnsi="Century Gothic" w:cs="Calibri"/>
                <w:sz w:val="20"/>
                <w:szCs w:val="20"/>
              </w:rPr>
              <w:t> </w:t>
            </w:r>
          </w:p>
          <w:p w14:paraId="0355F1DB" w14:textId="77777777" w:rsidR="00B23052" w:rsidRPr="002176DD" w:rsidRDefault="00B23052" w:rsidP="00B23052">
            <w:pPr>
              <w:pStyle w:val="paragraph"/>
              <w:numPr>
                <w:ilvl w:val="0"/>
                <w:numId w:val="14"/>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rPr>
              <w:t>Cien (100) asientos del software PL/SQL Developer</w:t>
            </w:r>
            <w:r w:rsidRPr="002176DD">
              <w:rPr>
                <w:rStyle w:val="eop"/>
                <w:rFonts w:ascii="Century Gothic" w:hAnsi="Century Gothic" w:cs="Calibri"/>
                <w:sz w:val="20"/>
                <w:szCs w:val="20"/>
              </w:rPr>
              <w:t> </w:t>
            </w:r>
          </w:p>
          <w:p w14:paraId="132C2272" w14:textId="77777777" w:rsidR="00B23052" w:rsidRPr="002176DD" w:rsidRDefault="00B23052" w:rsidP="00B23052">
            <w:pPr>
              <w:pStyle w:val="paragraph"/>
              <w:numPr>
                <w:ilvl w:val="0"/>
                <w:numId w:val="14"/>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n-US"/>
              </w:rPr>
              <w:t>Número de Parte: 5266.100</w:t>
            </w:r>
            <w:r w:rsidRPr="002176DD">
              <w:rPr>
                <w:rStyle w:val="eop"/>
                <w:rFonts w:ascii="Century Gothic" w:hAnsi="Century Gothic" w:cs="Calibri"/>
                <w:sz w:val="20"/>
                <w:szCs w:val="20"/>
              </w:rPr>
              <w:t> </w:t>
            </w:r>
          </w:p>
          <w:p w14:paraId="1F32389F" w14:textId="77777777" w:rsidR="00B23052" w:rsidRPr="002176DD" w:rsidRDefault="00B23052" w:rsidP="00B23052">
            <w:pPr>
              <w:pStyle w:val="paragraph"/>
              <w:numPr>
                <w:ilvl w:val="0"/>
                <w:numId w:val="14"/>
              </w:numPr>
              <w:spacing w:before="0" w:beforeAutospacing="0" w:after="0" w:afterAutospacing="0"/>
              <w:ind w:left="180" w:hanging="180"/>
              <w:textAlignment w:val="baseline"/>
              <w:rPr>
                <w:rFonts w:ascii="Century Gothic" w:hAnsi="Century Gothic" w:cs="Calibri"/>
                <w:sz w:val="20"/>
                <w:szCs w:val="20"/>
              </w:rPr>
            </w:pPr>
            <w:r w:rsidRPr="002176DD">
              <w:rPr>
                <w:rStyle w:val="normaltextrun"/>
                <w:rFonts w:ascii="Century Gothic" w:hAnsi="Century Gothic" w:cs="Calibri"/>
                <w:sz w:val="20"/>
                <w:szCs w:val="20"/>
                <w:lang w:val="en-US"/>
              </w:rPr>
              <w:t>Serial number: 01.126306</w:t>
            </w:r>
            <w:r w:rsidRPr="002176DD">
              <w:rPr>
                <w:rStyle w:val="eop"/>
                <w:rFonts w:ascii="Century Gothic" w:hAnsi="Century Gothic" w:cs="Calibri"/>
                <w:sz w:val="20"/>
                <w:szCs w:val="20"/>
              </w:rPr>
              <w:t> </w:t>
            </w:r>
          </w:p>
          <w:p w14:paraId="64B2F0FE" w14:textId="77777777" w:rsidR="00B23052" w:rsidRPr="002176DD" w:rsidRDefault="00B23052" w:rsidP="00B23052">
            <w:pPr>
              <w:pStyle w:val="paragraph"/>
              <w:numPr>
                <w:ilvl w:val="0"/>
                <w:numId w:val="14"/>
              </w:numPr>
              <w:spacing w:before="0" w:beforeAutospacing="0" w:after="0" w:afterAutospacing="0"/>
              <w:ind w:left="180" w:hanging="180"/>
              <w:textAlignment w:val="baseline"/>
              <w:rPr>
                <w:rFonts w:ascii="Century Gothic" w:hAnsi="Century Gothic" w:cs="Calibri"/>
                <w:sz w:val="20"/>
                <w:szCs w:val="20"/>
              </w:rPr>
            </w:pPr>
            <w:r w:rsidRPr="002176DD">
              <w:rPr>
                <w:rStyle w:val="eop"/>
                <w:rFonts w:ascii="Century Gothic" w:hAnsi="Century Gothic" w:cs="Calibri"/>
                <w:sz w:val="20"/>
                <w:szCs w:val="20"/>
              </w:rPr>
              <w:t>Tiempo de entrega 10 días hábiles</w:t>
            </w:r>
            <w:r w:rsidRPr="002176DD">
              <w:rPr>
                <w:rStyle w:val="eop"/>
                <w:rFonts w:cs="Calibri"/>
              </w:rPr>
              <w:t xml:space="preserve"> </w:t>
            </w:r>
            <w:r w:rsidRPr="002176DD">
              <w:rPr>
                <w:rStyle w:val="eop"/>
                <w:rFonts w:ascii="Century Gothic" w:hAnsi="Century Gothic" w:cs="Calibri"/>
                <w:sz w:val="20"/>
                <w:szCs w:val="20"/>
              </w:rPr>
              <w:t>luego de la certificación del contrato</w:t>
            </w:r>
          </w:p>
        </w:tc>
        <w:tc>
          <w:tcPr>
            <w:tcW w:w="2570" w:type="dxa"/>
            <w:tcBorders>
              <w:top w:val="single" w:sz="6" w:space="0" w:color="auto"/>
              <w:left w:val="single" w:sz="6" w:space="0" w:color="auto"/>
              <w:bottom w:val="single" w:sz="6" w:space="0" w:color="auto"/>
              <w:right w:val="single" w:sz="6" w:space="0" w:color="auto"/>
            </w:tcBorders>
            <w:shd w:val="clear" w:color="auto" w:fill="auto"/>
            <w:hideMark/>
          </w:tcPr>
          <w:p w14:paraId="3FD43A2F" w14:textId="77777777" w:rsidR="00B23052" w:rsidRPr="006F000A" w:rsidRDefault="00B23052" w:rsidP="00391001">
            <w:pPr>
              <w:pStyle w:val="paragraph"/>
              <w:spacing w:before="0" w:beforeAutospacing="0" w:after="0" w:afterAutospacing="0"/>
              <w:jc w:val="both"/>
              <w:textAlignment w:val="baseline"/>
              <w:rPr>
                <w:rFonts w:ascii="Century Gothic" w:hAnsi="Century Gothic" w:cs="Segoe UI"/>
                <w:sz w:val="20"/>
                <w:szCs w:val="20"/>
              </w:rPr>
            </w:pPr>
            <w:r w:rsidRPr="006F000A">
              <w:rPr>
                <w:rStyle w:val="normaltextrun"/>
                <w:rFonts w:ascii="Century Gothic" w:hAnsi="Century Gothic" w:cs="Calibri"/>
                <w:sz w:val="20"/>
                <w:szCs w:val="20"/>
              </w:rPr>
              <w:t>1 año de soporte y actualizaciones.</w:t>
            </w:r>
            <w:r w:rsidRPr="006F000A">
              <w:rPr>
                <w:rStyle w:val="eop"/>
                <w:rFonts w:ascii="Century Gothic" w:hAnsi="Century Gothic" w:cs="Calibri"/>
                <w:sz w:val="20"/>
                <w:szCs w:val="20"/>
              </w:rPr>
              <w:t> </w:t>
            </w:r>
          </w:p>
        </w:tc>
      </w:tr>
      <w:tr w:rsidR="00B23052" w:rsidRPr="00B565C0" w14:paraId="2F357CF4" w14:textId="77777777" w:rsidTr="00391001">
        <w:trPr>
          <w:trHeight w:val="300"/>
        </w:trPr>
        <w:tc>
          <w:tcPr>
            <w:tcW w:w="9765" w:type="dxa"/>
            <w:gridSpan w:val="6"/>
            <w:tcBorders>
              <w:top w:val="single" w:sz="6" w:space="0" w:color="auto"/>
              <w:left w:val="single" w:sz="6" w:space="0" w:color="auto"/>
              <w:bottom w:val="single" w:sz="6" w:space="0" w:color="auto"/>
              <w:right w:val="single" w:sz="6" w:space="0" w:color="auto"/>
            </w:tcBorders>
            <w:shd w:val="clear" w:color="auto" w:fill="auto"/>
          </w:tcPr>
          <w:p w14:paraId="75007FD8" w14:textId="77777777" w:rsidR="00B23052" w:rsidRPr="00B565C0" w:rsidRDefault="00B23052" w:rsidP="00391001">
            <w:pPr>
              <w:pStyle w:val="paragraph"/>
              <w:spacing w:before="0" w:beforeAutospacing="0" w:after="0" w:afterAutospacing="0"/>
              <w:jc w:val="both"/>
              <w:textAlignment w:val="baseline"/>
              <w:rPr>
                <w:rStyle w:val="normaltextrun"/>
                <w:rFonts w:ascii="Century Gothic" w:hAnsi="Century Gothic" w:cs="Calibri"/>
                <w:sz w:val="20"/>
                <w:szCs w:val="20"/>
              </w:rPr>
            </w:pPr>
            <w:r w:rsidRPr="00E83E8F">
              <w:rPr>
                <w:rStyle w:val="normaltextrun"/>
                <w:rFonts w:ascii="Century Gothic" w:hAnsi="Century Gothic" w:cs="Calibri"/>
                <w:b/>
                <w:bCs/>
                <w:sz w:val="20"/>
                <w:szCs w:val="20"/>
              </w:rPr>
              <w:t>Nota: Este bien no se encuentra sujeto al pago de impuestos</w:t>
            </w:r>
            <w:r w:rsidRPr="00E83E8F">
              <w:rPr>
                <w:rStyle w:val="normaltextrun"/>
                <w:rFonts w:ascii="Century Gothic" w:hAnsi="Century Gothic" w:cs="Calibri"/>
                <w:sz w:val="20"/>
                <w:szCs w:val="20"/>
              </w:rPr>
              <w:t>.  Conforme al Reglamento 293-11, de fecha doce (12) del mes de mayo del año dos mil once (2011), de la Dirección General de Impuesto Internos, en su Art. 4, literales C y D, los cuales disponen lo siguiente: “c) La transferencia de derechos de autor, propiedad industrial, permisos, licencias y otros derechos que no impliquen la transmisión de un mueble corporal; d) El arrendamiento de derechos o de bienes intangibles”</w:t>
            </w:r>
            <w:r>
              <w:rPr>
                <w:rStyle w:val="normaltextrun"/>
                <w:rFonts w:ascii="Century Gothic" w:hAnsi="Century Gothic" w:cs="Calibri"/>
                <w:sz w:val="20"/>
                <w:szCs w:val="20"/>
              </w:rPr>
              <w:t>.</w:t>
            </w:r>
          </w:p>
        </w:tc>
      </w:tr>
    </w:tbl>
    <w:p w14:paraId="336C31FE" w14:textId="77777777" w:rsidR="00B23052" w:rsidRDefault="00B23052"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05A7194"/>
    <w:multiLevelType w:val="multilevel"/>
    <w:tmpl w:val="FCE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4D5D1BE3"/>
    <w:multiLevelType w:val="multilevel"/>
    <w:tmpl w:val="07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2"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EB36731"/>
    <w:multiLevelType w:val="multilevel"/>
    <w:tmpl w:val="1E7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5"/>
  </w:num>
  <w:num w:numId="3">
    <w:abstractNumId w:val="12"/>
  </w:num>
  <w:num w:numId="4">
    <w:abstractNumId w:val="9"/>
  </w:num>
  <w:num w:numId="5">
    <w:abstractNumId w:val="0"/>
  </w:num>
  <w:num w:numId="6">
    <w:abstractNumId w:val="7"/>
  </w:num>
  <w:num w:numId="7">
    <w:abstractNumId w:val="10"/>
  </w:num>
  <w:num w:numId="8">
    <w:abstractNumId w:val="1"/>
  </w:num>
  <w:num w:numId="9">
    <w:abstractNumId w:val="3"/>
  </w:num>
  <w:num w:numId="10">
    <w:abstractNumId w:val="6"/>
  </w:num>
  <w:num w:numId="11">
    <w:abstractNumId w:val="2"/>
  </w:num>
  <w:num w:numId="12">
    <w:abstractNumId w:val="8"/>
  </w:num>
  <w:num w:numId="13">
    <w:abstractNumId w:val="4"/>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2875"/>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23052"/>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48D8"/>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2361"/>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2696</Words>
  <Characters>15373</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21</cp:revision>
  <cp:lastPrinted>2015-05-19T16:27:00Z</cp:lastPrinted>
  <dcterms:created xsi:type="dcterms:W3CDTF">2022-03-31T12:48:00Z</dcterms:created>
  <dcterms:modified xsi:type="dcterms:W3CDTF">2023-10-05T16:07:00Z</dcterms:modified>
</cp:coreProperties>
</file>