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6AE99CEB"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DA6393" w:rsidRPr="00504FA6">
            <w:rPr>
              <w:rFonts w:asciiTheme="majorHAnsi" w:eastAsia="Calibri" w:hAnsiTheme="majorHAnsi" w:cstheme="majorHAnsi"/>
              <w:b/>
              <w:sz w:val="20"/>
              <w:szCs w:val="16"/>
            </w:rPr>
            <w:t xml:space="preserve">Renovación de Soportes de Equipos Informáticos y Derecho de Uso de Licencia </w:t>
          </w:r>
          <w:proofErr w:type="spellStart"/>
          <w:r w:rsidR="00DA6393" w:rsidRPr="00504FA6">
            <w:rPr>
              <w:rFonts w:asciiTheme="majorHAnsi" w:eastAsia="Calibri" w:hAnsiTheme="majorHAnsi" w:cstheme="majorHAnsi"/>
              <w:b/>
              <w:sz w:val="20"/>
              <w:szCs w:val="16"/>
            </w:rPr>
            <w:t>Nutanix</w:t>
          </w:r>
          <w:proofErr w:type="spellEnd"/>
        </w:sdtContent>
      </w:sdt>
      <w:r w:rsidR="000E01D2" w:rsidRPr="00FC52BF">
        <w:rPr>
          <w:b/>
          <w:lang w:val="es-DO"/>
        </w:rPr>
        <w:t>.</w:t>
      </w:r>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2898BC3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DA6393">
        <w:rPr>
          <w:rFonts w:asciiTheme="minorHAnsi" w:hAnsiTheme="minorHAnsi" w:cstheme="minorHAnsi"/>
          <w:b/>
          <w:bCs/>
        </w:rPr>
        <w:t>4</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578"/>
        <w:gridCol w:w="912"/>
        <w:gridCol w:w="903"/>
        <w:gridCol w:w="1903"/>
        <w:gridCol w:w="4934"/>
      </w:tblGrid>
      <w:tr w:rsidR="00DA6393" w:rsidRPr="00EA5AB4" w14:paraId="4C8C1E41" w14:textId="77777777" w:rsidTr="0032172D">
        <w:trPr>
          <w:trHeight w:val="179"/>
          <w:tblHeader/>
        </w:trPr>
        <w:tc>
          <w:tcPr>
            <w:tcW w:w="572" w:type="dxa"/>
            <w:tcBorders>
              <w:top w:val="single" w:sz="6" w:space="0" w:color="auto"/>
              <w:left w:val="single" w:sz="6" w:space="0" w:color="auto"/>
              <w:bottom w:val="single" w:sz="6" w:space="0" w:color="auto"/>
              <w:right w:val="single" w:sz="6" w:space="0" w:color="auto"/>
            </w:tcBorders>
          </w:tcPr>
          <w:p w14:paraId="2E3A1E47" w14:textId="77777777" w:rsidR="00DA6393" w:rsidRPr="00EA5AB4" w:rsidRDefault="00DA6393" w:rsidP="0032172D">
            <w:pPr>
              <w:jc w:val="center"/>
              <w:textAlignment w:val="baseline"/>
              <w:rPr>
                <w:rFonts w:ascii="Century Gothic" w:hAnsi="Century Gothic" w:cs="Calibri"/>
                <w:b/>
                <w:bCs/>
                <w:sz w:val="16"/>
                <w:szCs w:val="18"/>
                <w:lang w:eastAsia="es-DO"/>
              </w:rPr>
            </w:pPr>
            <w:r w:rsidRPr="00EA5AB4">
              <w:rPr>
                <w:rFonts w:ascii="Century Gothic" w:hAnsi="Century Gothic" w:cs="Calibri"/>
                <w:b/>
                <w:bCs/>
                <w:sz w:val="16"/>
                <w:szCs w:val="18"/>
                <w:lang w:eastAsia="es-DO"/>
              </w:rPr>
              <w:t>Lote</w:t>
            </w:r>
          </w:p>
        </w:tc>
        <w:tc>
          <w:tcPr>
            <w:tcW w:w="578" w:type="dxa"/>
            <w:tcBorders>
              <w:top w:val="single" w:sz="6" w:space="0" w:color="auto"/>
              <w:left w:val="single" w:sz="6" w:space="0" w:color="auto"/>
              <w:bottom w:val="single" w:sz="6" w:space="0" w:color="auto"/>
              <w:right w:val="single" w:sz="6" w:space="0" w:color="auto"/>
            </w:tcBorders>
            <w:shd w:val="clear" w:color="auto" w:fill="auto"/>
            <w:hideMark/>
          </w:tcPr>
          <w:p w14:paraId="06A86283" w14:textId="77777777" w:rsidR="00DA6393" w:rsidRPr="00EA5AB4" w:rsidRDefault="00DA6393" w:rsidP="0032172D">
            <w:pPr>
              <w:jc w:val="center"/>
              <w:textAlignment w:val="baseline"/>
              <w:rPr>
                <w:rFonts w:ascii="Century Gothic" w:hAnsi="Century Gothic" w:cs="Segoe UI"/>
                <w:b/>
                <w:bCs/>
                <w:sz w:val="16"/>
                <w:szCs w:val="18"/>
                <w:lang w:eastAsia="es-DO"/>
              </w:rPr>
            </w:pPr>
            <w:r w:rsidRPr="00EA5AB4">
              <w:rPr>
                <w:rFonts w:ascii="Century Gothic" w:hAnsi="Century Gothic" w:cs="Calibri"/>
                <w:b/>
                <w:bCs/>
                <w:sz w:val="16"/>
                <w:szCs w:val="18"/>
                <w:lang w:eastAsia="es-DO"/>
              </w:rPr>
              <w:t>ítem</w:t>
            </w:r>
          </w:p>
        </w:tc>
        <w:tc>
          <w:tcPr>
            <w:tcW w:w="912" w:type="dxa"/>
            <w:tcBorders>
              <w:top w:val="single" w:sz="6" w:space="0" w:color="auto"/>
              <w:left w:val="single" w:sz="6" w:space="0" w:color="auto"/>
              <w:bottom w:val="single" w:sz="6" w:space="0" w:color="auto"/>
              <w:right w:val="single" w:sz="6" w:space="0" w:color="auto"/>
            </w:tcBorders>
            <w:shd w:val="clear" w:color="auto" w:fill="auto"/>
            <w:hideMark/>
          </w:tcPr>
          <w:p w14:paraId="04D7F178" w14:textId="77777777" w:rsidR="00DA6393" w:rsidRPr="00EA5AB4" w:rsidRDefault="00DA6393" w:rsidP="0032172D">
            <w:pPr>
              <w:jc w:val="center"/>
              <w:textAlignment w:val="baseline"/>
              <w:rPr>
                <w:rFonts w:ascii="Century Gothic" w:hAnsi="Century Gothic" w:cs="Segoe UI"/>
                <w:b/>
                <w:bCs/>
                <w:sz w:val="16"/>
                <w:szCs w:val="18"/>
                <w:lang w:eastAsia="es-DO"/>
              </w:rPr>
            </w:pPr>
            <w:r w:rsidRPr="00EA5AB4">
              <w:rPr>
                <w:rFonts w:ascii="Century Gothic" w:hAnsi="Century Gothic" w:cs="Calibri"/>
                <w:b/>
                <w:bCs/>
                <w:sz w:val="16"/>
                <w:szCs w:val="18"/>
                <w:lang w:eastAsia="es-DO"/>
              </w:rPr>
              <w:t>Cantidad</w:t>
            </w:r>
          </w:p>
        </w:tc>
        <w:tc>
          <w:tcPr>
            <w:tcW w:w="903" w:type="dxa"/>
            <w:tcBorders>
              <w:top w:val="single" w:sz="6" w:space="0" w:color="auto"/>
              <w:left w:val="single" w:sz="6" w:space="0" w:color="auto"/>
              <w:bottom w:val="single" w:sz="6" w:space="0" w:color="auto"/>
              <w:right w:val="single" w:sz="6" w:space="0" w:color="auto"/>
            </w:tcBorders>
          </w:tcPr>
          <w:p w14:paraId="6B572CB5" w14:textId="77777777" w:rsidR="00DA6393" w:rsidRPr="00EA5AB4" w:rsidRDefault="00DA6393" w:rsidP="0032172D">
            <w:pPr>
              <w:jc w:val="center"/>
              <w:textAlignment w:val="baseline"/>
              <w:rPr>
                <w:rFonts w:ascii="Century Gothic" w:hAnsi="Century Gothic" w:cs="Calibri"/>
                <w:b/>
                <w:bCs/>
                <w:sz w:val="16"/>
                <w:szCs w:val="18"/>
                <w:lang w:eastAsia="es-DO"/>
              </w:rPr>
            </w:pPr>
            <w:r w:rsidRPr="00EA5AB4">
              <w:rPr>
                <w:rFonts w:ascii="Century Gothic" w:hAnsi="Century Gothic" w:cs="Calibri"/>
                <w:b/>
                <w:bCs/>
                <w:sz w:val="16"/>
                <w:szCs w:val="18"/>
                <w:lang w:eastAsia="es-DO"/>
              </w:rPr>
              <w:t>Rubro</w:t>
            </w:r>
          </w:p>
        </w:tc>
        <w:tc>
          <w:tcPr>
            <w:tcW w:w="1903" w:type="dxa"/>
            <w:tcBorders>
              <w:top w:val="single" w:sz="6" w:space="0" w:color="auto"/>
              <w:left w:val="single" w:sz="6" w:space="0" w:color="auto"/>
              <w:bottom w:val="single" w:sz="6" w:space="0" w:color="auto"/>
              <w:right w:val="single" w:sz="6" w:space="0" w:color="auto"/>
            </w:tcBorders>
            <w:shd w:val="clear" w:color="auto" w:fill="auto"/>
            <w:hideMark/>
          </w:tcPr>
          <w:p w14:paraId="0A5B0ABA" w14:textId="77777777" w:rsidR="00DA6393" w:rsidRPr="00EA5AB4" w:rsidRDefault="00DA6393" w:rsidP="0032172D">
            <w:pPr>
              <w:jc w:val="center"/>
              <w:textAlignment w:val="baseline"/>
              <w:rPr>
                <w:rFonts w:ascii="Century Gothic" w:hAnsi="Century Gothic" w:cs="Segoe UI"/>
                <w:b/>
                <w:bCs/>
                <w:sz w:val="16"/>
                <w:szCs w:val="18"/>
                <w:lang w:eastAsia="es-DO"/>
              </w:rPr>
            </w:pPr>
            <w:r w:rsidRPr="00EA5AB4">
              <w:rPr>
                <w:rFonts w:ascii="Century Gothic" w:hAnsi="Century Gothic" w:cs="Calibri"/>
                <w:b/>
                <w:bCs/>
                <w:sz w:val="16"/>
                <w:szCs w:val="18"/>
                <w:lang w:eastAsia="es-DO"/>
              </w:rPr>
              <w:t>Descripción</w:t>
            </w:r>
          </w:p>
        </w:tc>
        <w:tc>
          <w:tcPr>
            <w:tcW w:w="4934" w:type="dxa"/>
            <w:tcBorders>
              <w:top w:val="single" w:sz="6" w:space="0" w:color="auto"/>
              <w:left w:val="single" w:sz="6" w:space="0" w:color="auto"/>
              <w:bottom w:val="single" w:sz="6" w:space="0" w:color="auto"/>
              <w:right w:val="single" w:sz="6" w:space="0" w:color="auto"/>
            </w:tcBorders>
            <w:shd w:val="clear" w:color="auto" w:fill="auto"/>
            <w:hideMark/>
          </w:tcPr>
          <w:p w14:paraId="61B7357E" w14:textId="77777777" w:rsidR="00DA6393" w:rsidRPr="00EA5AB4" w:rsidRDefault="00DA6393" w:rsidP="0032172D">
            <w:pPr>
              <w:jc w:val="center"/>
              <w:textAlignment w:val="baseline"/>
              <w:rPr>
                <w:rFonts w:ascii="Century Gothic" w:hAnsi="Century Gothic" w:cs="Segoe UI"/>
                <w:b/>
                <w:bCs/>
                <w:sz w:val="16"/>
                <w:szCs w:val="18"/>
                <w:lang w:eastAsia="es-DO"/>
              </w:rPr>
            </w:pPr>
            <w:r w:rsidRPr="00EA5AB4">
              <w:rPr>
                <w:rFonts w:ascii="Century Gothic" w:hAnsi="Century Gothic" w:cs="Calibri"/>
                <w:b/>
                <w:bCs/>
                <w:sz w:val="16"/>
                <w:szCs w:val="18"/>
                <w:lang w:eastAsia="es-DO"/>
              </w:rPr>
              <w:t>Requisitos Mínimos</w:t>
            </w:r>
          </w:p>
        </w:tc>
      </w:tr>
      <w:tr w:rsidR="00DA6393" w:rsidRPr="00EA5AB4" w14:paraId="271D1D3C" w14:textId="77777777" w:rsidTr="0032172D">
        <w:trPr>
          <w:trHeight w:val="4143"/>
        </w:trPr>
        <w:tc>
          <w:tcPr>
            <w:tcW w:w="572" w:type="dxa"/>
            <w:vMerge w:val="restart"/>
            <w:tcBorders>
              <w:top w:val="single" w:sz="6" w:space="0" w:color="auto"/>
              <w:left w:val="single" w:sz="6" w:space="0" w:color="auto"/>
              <w:right w:val="single" w:sz="6" w:space="0" w:color="auto"/>
            </w:tcBorders>
          </w:tcPr>
          <w:p w14:paraId="36718AA4" w14:textId="77777777" w:rsidR="00DA6393" w:rsidRPr="00EA5AB4" w:rsidRDefault="00DA6393" w:rsidP="0032172D">
            <w:pPr>
              <w:jc w:val="center"/>
              <w:textAlignment w:val="baseline"/>
              <w:rPr>
                <w:rFonts w:ascii="Century Gothic" w:hAnsi="Century Gothic" w:cs="Calibri"/>
                <w:sz w:val="16"/>
                <w:szCs w:val="18"/>
                <w:lang w:eastAsia="es-DO"/>
              </w:rPr>
            </w:pPr>
          </w:p>
          <w:p w14:paraId="3CE0860D" w14:textId="77777777" w:rsidR="00DA6393" w:rsidRPr="00EA5AB4" w:rsidRDefault="00DA6393" w:rsidP="0032172D">
            <w:pPr>
              <w:jc w:val="center"/>
              <w:textAlignment w:val="baseline"/>
              <w:rPr>
                <w:rFonts w:ascii="Century Gothic" w:hAnsi="Century Gothic" w:cs="Calibri"/>
                <w:sz w:val="16"/>
                <w:szCs w:val="18"/>
                <w:lang w:eastAsia="es-DO"/>
              </w:rPr>
            </w:pPr>
          </w:p>
          <w:p w14:paraId="0C837DB6" w14:textId="77777777" w:rsidR="00DA6393" w:rsidRPr="00EA5AB4" w:rsidRDefault="00DA6393" w:rsidP="0032172D">
            <w:pPr>
              <w:jc w:val="center"/>
              <w:textAlignment w:val="baseline"/>
              <w:rPr>
                <w:rFonts w:ascii="Century Gothic" w:hAnsi="Century Gothic" w:cs="Calibri"/>
                <w:sz w:val="16"/>
                <w:szCs w:val="18"/>
                <w:lang w:eastAsia="es-DO"/>
              </w:rPr>
            </w:pPr>
          </w:p>
          <w:p w14:paraId="2B7A728E" w14:textId="77777777" w:rsidR="00DA6393" w:rsidRPr="00EA5AB4" w:rsidRDefault="00DA6393" w:rsidP="0032172D">
            <w:pPr>
              <w:jc w:val="center"/>
              <w:textAlignment w:val="baseline"/>
              <w:rPr>
                <w:rFonts w:ascii="Century Gothic" w:hAnsi="Century Gothic" w:cs="Calibri"/>
                <w:sz w:val="16"/>
                <w:szCs w:val="18"/>
                <w:lang w:eastAsia="es-DO"/>
              </w:rPr>
            </w:pPr>
          </w:p>
          <w:p w14:paraId="13897759" w14:textId="77777777" w:rsidR="00DA6393" w:rsidRPr="00EA5AB4" w:rsidRDefault="00DA6393" w:rsidP="0032172D">
            <w:pPr>
              <w:jc w:val="center"/>
              <w:textAlignment w:val="baseline"/>
              <w:rPr>
                <w:rFonts w:ascii="Century Gothic" w:hAnsi="Century Gothic" w:cs="Calibri"/>
                <w:sz w:val="16"/>
                <w:szCs w:val="18"/>
                <w:lang w:eastAsia="es-DO"/>
              </w:rPr>
            </w:pPr>
          </w:p>
          <w:p w14:paraId="1BB448EE" w14:textId="77777777" w:rsidR="00DA6393" w:rsidRPr="00EA5AB4" w:rsidRDefault="00DA6393" w:rsidP="0032172D">
            <w:pPr>
              <w:jc w:val="center"/>
              <w:textAlignment w:val="baseline"/>
              <w:rPr>
                <w:rFonts w:ascii="Century Gothic" w:hAnsi="Century Gothic" w:cs="Calibri"/>
                <w:sz w:val="16"/>
                <w:szCs w:val="18"/>
                <w:lang w:eastAsia="es-DO"/>
              </w:rPr>
            </w:pPr>
          </w:p>
          <w:p w14:paraId="6E5EA3C1" w14:textId="77777777" w:rsidR="00DA6393" w:rsidRPr="00EA5AB4" w:rsidRDefault="00DA6393" w:rsidP="0032172D">
            <w:pPr>
              <w:jc w:val="center"/>
              <w:textAlignment w:val="baseline"/>
              <w:rPr>
                <w:rFonts w:ascii="Century Gothic" w:hAnsi="Century Gothic" w:cs="Calibri"/>
                <w:sz w:val="16"/>
                <w:szCs w:val="18"/>
                <w:lang w:eastAsia="es-DO"/>
              </w:rPr>
            </w:pPr>
          </w:p>
          <w:p w14:paraId="3FBD2663" w14:textId="77777777" w:rsidR="00DA6393" w:rsidRPr="00EA5AB4" w:rsidRDefault="00DA6393" w:rsidP="0032172D">
            <w:pPr>
              <w:jc w:val="center"/>
              <w:textAlignment w:val="baseline"/>
              <w:rPr>
                <w:rFonts w:ascii="Century Gothic" w:hAnsi="Century Gothic" w:cs="Calibri"/>
                <w:sz w:val="16"/>
                <w:szCs w:val="18"/>
                <w:lang w:eastAsia="es-DO"/>
              </w:rPr>
            </w:pPr>
          </w:p>
          <w:p w14:paraId="567686CB" w14:textId="77777777" w:rsidR="00DA6393" w:rsidRPr="00EA5AB4" w:rsidRDefault="00DA6393" w:rsidP="0032172D">
            <w:pPr>
              <w:jc w:val="center"/>
              <w:textAlignment w:val="baseline"/>
              <w:rPr>
                <w:rFonts w:ascii="Century Gothic" w:hAnsi="Century Gothic" w:cs="Calibri"/>
                <w:sz w:val="16"/>
                <w:szCs w:val="18"/>
                <w:lang w:eastAsia="es-DO"/>
              </w:rPr>
            </w:pPr>
          </w:p>
          <w:p w14:paraId="1C1E09FE" w14:textId="77777777" w:rsidR="00DA6393" w:rsidRPr="00EA5AB4" w:rsidRDefault="00DA6393" w:rsidP="0032172D">
            <w:pPr>
              <w:jc w:val="center"/>
              <w:textAlignment w:val="baseline"/>
              <w:rPr>
                <w:rFonts w:ascii="Century Gothic" w:hAnsi="Century Gothic" w:cs="Calibri"/>
                <w:sz w:val="16"/>
                <w:szCs w:val="18"/>
                <w:lang w:eastAsia="es-DO"/>
              </w:rPr>
            </w:pPr>
          </w:p>
          <w:p w14:paraId="47720C7F" w14:textId="77777777" w:rsidR="00DA6393" w:rsidRPr="00EA5AB4" w:rsidRDefault="00DA6393" w:rsidP="0032172D">
            <w:pPr>
              <w:jc w:val="center"/>
              <w:textAlignment w:val="baseline"/>
              <w:rPr>
                <w:rFonts w:ascii="Century Gothic" w:hAnsi="Century Gothic" w:cs="Calibri"/>
                <w:sz w:val="16"/>
                <w:szCs w:val="18"/>
                <w:lang w:eastAsia="es-DO"/>
              </w:rPr>
            </w:pPr>
            <w:r w:rsidRPr="00EA5AB4">
              <w:rPr>
                <w:rFonts w:ascii="Century Gothic" w:hAnsi="Century Gothic" w:cs="Calibri"/>
                <w:sz w:val="16"/>
                <w:szCs w:val="18"/>
                <w:lang w:eastAsia="es-DO"/>
              </w:rPr>
              <w:t>1</w:t>
            </w:r>
          </w:p>
          <w:p w14:paraId="7D5638F4" w14:textId="77777777" w:rsidR="00DA6393" w:rsidRPr="00EA5AB4" w:rsidRDefault="00DA6393" w:rsidP="0032172D">
            <w:pPr>
              <w:jc w:val="center"/>
              <w:textAlignment w:val="baseline"/>
              <w:rPr>
                <w:rFonts w:ascii="Century Gothic" w:hAnsi="Century Gothic" w:cs="Calibri"/>
                <w:sz w:val="16"/>
                <w:szCs w:val="18"/>
                <w:lang w:eastAsia="es-DO"/>
              </w:rPr>
            </w:pP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3DA28" w14:textId="77777777" w:rsidR="00DA6393" w:rsidRPr="00EA5AB4" w:rsidRDefault="00DA6393" w:rsidP="0032172D">
            <w:pPr>
              <w:textAlignment w:val="baseline"/>
              <w:rPr>
                <w:rFonts w:ascii="Century Gothic" w:hAnsi="Century Gothic" w:cs="Segoe UI"/>
                <w:sz w:val="16"/>
                <w:szCs w:val="18"/>
                <w:lang w:eastAsia="es-DO"/>
              </w:rPr>
            </w:pPr>
            <w:r w:rsidRPr="00EA5AB4">
              <w:rPr>
                <w:rFonts w:ascii="Century Gothic" w:hAnsi="Century Gothic" w:cs="Calibri"/>
                <w:sz w:val="16"/>
                <w:szCs w:val="18"/>
                <w:lang w:eastAsia="es-DO"/>
              </w:rPr>
              <w:t>1.1</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51191" w14:textId="77777777" w:rsidR="00DA6393" w:rsidRPr="00EA5AB4" w:rsidRDefault="00DA6393" w:rsidP="0032172D">
            <w:pPr>
              <w:jc w:val="center"/>
              <w:textAlignment w:val="baseline"/>
              <w:rPr>
                <w:rFonts w:ascii="Century Gothic" w:hAnsi="Century Gothic" w:cs="Segoe UI"/>
                <w:sz w:val="16"/>
                <w:szCs w:val="18"/>
                <w:lang w:eastAsia="es-DO"/>
              </w:rPr>
            </w:pPr>
            <w:r w:rsidRPr="00EA5AB4">
              <w:rPr>
                <w:rFonts w:ascii="Century Gothic" w:hAnsi="Century Gothic" w:cs="Calibri"/>
                <w:sz w:val="16"/>
                <w:szCs w:val="18"/>
                <w:lang w:eastAsia="es-DO"/>
              </w:rPr>
              <w:t>1</w:t>
            </w:r>
          </w:p>
        </w:tc>
        <w:tc>
          <w:tcPr>
            <w:tcW w:w="903" w:type="dxa"/>
            <w:tcBorders>
              <w:top w:val="single" w:sz="6" w:space="0" w:color="auto"/>
              <w:left w:val="single" w:sz="6" w:space="0" w:color="auto"/>
              <w:bottom w:val="single" w:sz="6" w:space="0" w:color="auto"/>
              <w:right w:val="single" w:sz="6" w:space="0" w:color="auto"/>
            </w:tcBorders>
            <w:vAlign w:val="center"/>
          </w:tcPr>
          <w:p w14:paraId="195FA3D9" w14:textId="77777777" w:rsidR="00DA6393" w:rsidRPr="00EA5AB4" w:rsidRDefault="00DA6393" w:rsidP="0032172D">
            <w:pPr>
              <w:textAlignment w:val="baseline"/>
              <w:rPr>
                <w:rFonts w:ascii="Century Gothic" w:hAnsi="Century Gothic" w:cs="Calibri"/>
                <w:sz w:val="16"/>
                <w:szCs w:val="18"/>
                <w:lang w:eastAsia="es-DO"/>
              </w:rPr>
            </w:pPr>
            <w:r>
              <w:rPr>
                <w:rFonts w:ascii="Century Gothic" w:hAnsi="Century Gothic" w:cs="Calibri"/>
                <w:sz w:val="16"/>
                <w:szCs w:val="18"/>
                <w:lang w:eastAsia="es-DO"/>
              </w:rPr>
              <w:t>81112501</w:t>
            </w:r>
            <w:r w:rsidRPr="00EA5AB4">
              <w:rPr>
                <w:rFonts w:ascii="Century Gothic" w:hAnsi="Century Gothic" w:cs="Calibri"/>
                <w:sz w:val="16"/>
                <w:szCs w:val="18"/>
                <w:lang w:eastAsia="es-DO"/>
              </w:rPr>
              <w:t> </w:t>
            </w:r>
          </w:p>
        </w:tc>
        <w:tc>
          <w:tcPr>
            <w:tcW w:w="1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D69D8" w14:textId="77777777" w:rsidR="00DA6393" w:rsidRPr="00EA5AB4" w:rsidRDefault="00DA6393" w:rsidP="0032172D">
            <w:pPr>
              <w:ind w:right="193"/>
              <w:textAlignment w:val="baseline"/>
              <w:rPr>
                <w:rFonts w:ascii="Century Gothic" w:hAnsi="Century Gothic" w:cs="Segoe UI"/>
                <w:sz w:val="16"/>
                <w:szCs w:val="18"/>
                <w:lang w:eastAsia="es-DO"/>
              </w:rPr>
            </w:pPr>
            <w:r w:rsidRPr="00EA5AB4">
              <w:rPr>
                <w:rFonts w:ascii="Century Gothic" w:hAnsi="Century Gothic" w:cs="Calibri"/>
                <w:sz w:val="16"/>
                <w:szCs w:val="18"/>
                <w:lang w:eastAsia="es-DO"/>
              </w:rPr>
              <w:t xml:space="preserve">Renovación de derecho de uso de Licencias </w:t>
            </w:r>
            <w:proofErr w:type="spellStart"/>
            <w:r w:rsidRPr="00EA5AB4">
              <w:rPr>
                <w:rFonts w:ascii="Century Gothic" w:hAnsi="Century Gothic" w:cs="Calibri"/>
                <w:sz w:val="16"/>
                <w:szCs w:val="18"/>
                <w:lang w:eastAsia="es-DO"/>
              </w:rPr>
              <w:t>Nutanix</w:t>
            </w:r>
            <w:proofErr w:type="spellEnd"/>
            <w:r w:rsidRPr="00EA5AB4">
              <w:rPr>
                <w:rFonts w:ascii="Century Gothic" w:hAnsi="Century Gothic" w:cs="Calibri"/>
                <w:sz w:val="16"/>
                <w:szCs w:val="18"/>
                <w:lang w:eastAsia="es-DO"/>
              </w:rPr>
              <w:t xml:space="preserve"> Naco </w:t>
            </w:r>
          </w:p>
        </w:tc>
        <w:tc>
          <w:tcPr>
            <w:tcW w:w="4934" w:type="dxa"/>
            <w:tcBorders>
              <w:top w:val="single" w:sz="6" w:space="0" w:color="auto"/>
              <w:left w:val="single" w:sz="6" w:space="0" w:color="auto"/>
              <w:bottom w:val="single" w:sz="6" w:space="0" w:color="auto"/>
              <w:right w:val="single" w:sz="6" w:space="0" w:color="auto"/>
            </w:tcBorders>
            <w:shd w:val="clear" w:color="auto" w:fill="auto"/>
            <w:hideMark/>
          </w:tcPr>
          <w:p w14:paraId="547224D0"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eastAsia="es-DO"/>
              </w:rPr>
            </w:pPr>
            <w:r w:rsidRPr="00EA5AB4">
              <w:rPr>
                <w:rFonts w:ascii="Century Gothic" w:hAnsi="Century Gothic" w:cs="Arial"/>
                <w:sz w:val="16"/>
                <w:szCs w:val="18"/>
                <w:lang w:eastAsia="es-DO"/>
              </w:rPr>
              <w:t xml:space="preserve">Renovación de Soporte a licencias </w:t>
            </w:r>
            <w:proofErr w:type="spellStart"/>
            <w:r w:rsidRPr="00EA5AB4">
              <w:rPr>
                <w:rFonts w:ascii="Century Gothic" w:hAnsi="Century Gothic" w:cs="Arial"/>
                <w:sz w:val="16"/>
                <w:szCs w:val="18"/>
                <w:lang w:eastAsia="es-DO"/>
              </w:rPr>
              <w:t>Nutanix</w:t>
            </w:r>
            <w:proofErr w:type="spellEnd"/>
            <w:r w:rsidRPr="00EA5AB4">
              <w:rPr>
                <w:rFonts w:ascii="Century Gothic" w:hAnsi="Century Gothic" w:cs="Arial"/>
                <w:sz w:val="16"/>
                <w:szCs w:val="18"/>
                <w:lang w:eastAsia="es-DO"/>
              </w:rPr>
              <w:t> </w:t>
            </w:r>
          </w:p>
          <w:p w14:paraId="39FB12E2"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 xml:space="preserve">LA PROD SW SUP RNWL SLIC </w:t>
            </w:r>
            <w:proofErr w:type="spellStart"/>
            <w:r w:rsidRPr="00EA5AB4">
              <w:rPr>
                <w:rFonts w:ascii="Century Gothic" w:hAnsi="Century Gothic" w:cs="Arial"/>
                <w:sz w:val="16"/>
                <w:szCs w:val="18"/>
                <w:lang w:val="en-US" w:eastAsia="es-DO"/>
              </w:rPr>
              <w:t>SLIC</w:t>
            </w:r>
            <w:proofErr w:type="spellEnd"/>
            <w:r w:rsidRPr="00EA5AB4">
              <w:rPr>
                <w:rFonts w:ascii="Century Gothic" w:hAnsi="Century Gothic" w:cs="Arial"/>
                <w:sz w:val="16"/>
                <w:szCs w:val="18"/>
                <w:lang w:val="en-US" w:eastAsia="es-DO"/>
              </w:rPr>
              <w:t> </w:t>
            </w:r>
          </w:p>
          <w:p w14:paraId="70104157"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val="pt-BR" w:eastAsia="es-DO"/>
              </w:rPr>
            </w:pPr>
            <w:r w:rsidRPr="00EA5AB4">
              <w:rPr>
                <w:rFonts w:ascii="Century Gothic" w:hAnsi="Century Gothic" w:cs="Arial"/>
                <w:sz w:val="16"/>
                <w:szCs w:val="18"/>
                <w:lang w:val="pt-BR" w:eastAsia="es-DO"/>
              </w:rPr>
              <w:t>Qty.1 R-SW-AOS-PRO-PRD </w:t>
            </w:r>
          </w:p>
          <w:p w14:paraId="3AA78D42" w14:textId="77777777" w:rsidR="00DA6393" w:rsidRPr="00EA5AB4" w:rsidRDefault="00DA6393" w:rsidP="00DA6393">
            <w:pPr>
              <w:pStyle w:val="ListParagraph"/>
              <w:numPr>
                <w:ilvl w:val="0"/>
                <w:numId w:val="46"/>
              </w:numPr>
              <w:ind w:left="250" w:right="160" w:hanging="90"/>
              <w:contextualSpacing w:val="0"/>
              <w:textAlignment w:val="baseline"/>
              <w:rPr>
                <w:rFonts w:ascii="Century Gothic" w:hAnsi="Century Gothic" w:cs="Arial"/>
                <w:sz w:val="16"/>
                <w:szCs w:val="18"/>
                <w:lang w:val="pt-BR" w:eastAsia="es-DO"/>
              </w:rPr>
            </w:pPr>
            <w:proofErr w:type="spellStart"/>
            <w:r w:rsidRPr="00EA5AB4">
              <w:rPr>
                <w:rFonts w:ascii="Century Gothic" w:hAnsi="Century Gothic" w:cs="Arial"/>
                <w:sz w:val="16"/>
                <w:szCs w:val="18"/>
                <w:lang w:val="pt-BR" w:eastAsia="es-DO"/>
              </w:rPr>
              <w:t>Qty</w:t>
            </w:r>
            <w:proofErr w:type="spellEnd"/>
            <w:r w:rsidRPr="00EA5AB4">
              <w:rPr>
                <w:rFonts w:ascii="Century Gothic" w:hAnsi="Century Gothic" w:cs="Arial"/>
                <w:sz w:val="16"/>
                <w:szCs w:val="18"/>
                <w:lang w:val="pt-BR" w:eastAsia="es-DO"/>
              </w:rPr>
              <w:t>. 96 R-L-CORES-PRO-PRD </w:t>
            </w:r>
          </w:p>
          <w:p w14:paraId="48E2F11F"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Qty.6 R-L-FLASHTIB-PRO-PRD </w:t>
            </w:r>
          </w:p>
          <w:p w14:paraId="45490B6D"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LA RNWL SUB FILES SW LICS SVCS MLIC AOS </w:t>
            </w:r>
          </w:p>
          <w:p w14:paraId="1E483449"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Qty.3 RSWFILESAOS1TIBPRD </w:t>
            </w:r>
          </w:p>
          <w:p w14:paraId="530A8645"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PRISM PRO SW RNWL PER NODE LICS </w:t>
            </w:r>
          </w:p>
          <w:p w14:paraId="55CDF648"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Qty.3 R-SW-PRS-PRO-NODE</w:t>
            </w:r>
          </w:p>
          <w:p w14:paraId="596E139A" w14:textId="77777777" w:rsidR="00DA6393" w:rsidRPr="00EA5AB4" w:rsidRDefault="00DA6393" w:rsidP="00DA6393">
            <w:pPr>
              <w:pStyle w:val="ListParagraph"/>
              <w:numPr>
                <w:ilvl w:val="0"/>
                <w:numId w:val="46"/>
              </w:numPr>
              <w:ind w:left="250" w:right="160" w:hanging="90"/>
              <w:contextualSpacing w:val="0"/>
              <w:jc w:val="both"/>
              <w:textAlignment w:val="baseline"/>
              <w:rPr>
                <w:rFonts w:ascii="Century Gothic" w:hAnsi="Century Gothic" w:cs="Arial"/>
                <w:sz w:val="16"/>
                <w:szCs w:val="18"/>
                <w:lang w:eastAsia="es-DO"/>
              </w:rPr>
            </w:pPr>
            <w:r w:rsidRPr="00EA5AB4">
              <w:rPr>
                <w:rFonts w:ascii="Century Gothic" w:hAnsi="Century Gothic" w:cs="Arial"/>
                <w:sz w:val="16"/>
                <w:szCs w:val="18"/>
                <w:lang w:eastAsia="es-DO"/>
              </w:rPr>
              <w:t xml:space="preserve">3 años de soporte y actualizaciones   </w:t>
            </w:r>
          </w:p>
          <w:p w14:paraId="6EF2E6EA" w14:textId="77777777" w:rsidR="00DA6393" w:rsidRPr="00EA5AB4" w:rsidRDefault="00DA6393" w:rsidP="0032172D">
            <w:pPr>
              <w:ind w:left="69" w:right="241" w:hanging="69"/>
              <w:contextualSpacing/>
              <w:jc w:val="both"/>
              <w:rPr>
                <w:rFonts w:ascii="Century Gothic" w:hAnsi="Century Gothic" w:cstheme="majorHAnsi"/>
                <w:i/>
                <w:iCs/>
                <w:sz w:val="16"/>
                <w:szCs w:val="18"/>
              </w:rPr>
            </w:pPr>
            <w:r w:rsidRPr="00EA5AB4">
              <w:rPr>
                <w:rFonts w:ascii="Century Gothic" w:hAnsi="Century Gothic" w:cstheme="majorHAnsi"/>
                <w:b/>
                <w:bCs/>
                <w:i/>
                <w:sz w:val="16"/>
                <w:szCs w:val="18"/>
                <w:u w:val="single"/>
                <w:lang w:val="es-ES"/>
              </w:rPr>
              <w:t>Nota: Este bien no se encuentra sujeto al pago de impuestos</w:t>
            </w:r>
            <w:r w:rsidRPr="00EA5AB4">
              <w:rPr>
                <w:rFonts w:ascii="Century Gothic" w:hAnsi="Century Gothic" w:cstheme="majorHAnsi"/>
                <w:i/>
                <w:sz w:val="16"/>
                <w:szCs w:val="18"/>
                <w:lang w:val="es-ES"/>
              </w:rPr>
              <w:t xml:space="preserve"> conforme al Reglamento 293-11, de fecha doce (12) del mes de mayo del año dos mil once (2011), de la Dirección General de Impuestos Internos, en su Art. 4, literales C y D, los cuales disponen lo siguiente “c) La transferencia de derechos de autor, propiedad industrial, permisos, licencias y otros derechos que no impliquen la transmisión de un bien mueble corporal; d) El arrendamiento de derechos o de bienes intangibles”.</w:t>
            </w:r>
          </w:p>
          <w:p w14:paraId="77919564" w14:textId="77777777" w:rsidR="00DA6393" w:rsidRPr="00EA5AB4" w:rsidRDefault="00DA6393" w:rsidP="0032172D">
            <w:pPr>
              <w:textAlignment w:val="baseline"/>
              <w:rPr>
                <w:rFonts w:ascii="Century Gothic" w:hAnsi="Century Gothic" w:cs="Arial"/>
                <w:sz w:val="16"/>
                <w:szCs w:val="18"/>
                <w:lang w:eastAsia="es-DO"/>
              </w:rPr>
            </w:pPr>
          </w:p>
        </w:tc>
      </w:tr>
      <w:tr w:rsidR="00DA6393" w:rsidRPr="00EA5AB4" w14:paraId="56EBCDD3" w14:textId="77777777" w:rsidTr="0032172D">
        <w:trPr>
          <w:trHeight w:val="300"/>
        </w:trPr>
        <w:tc>
          <w:tcPr>
            <w:tcW w:w="572" w:type="dxa"/>
            <w:vMerge/>
            <w:tcBorders>
              <w:left w:val="single" w:sz="6" w:space="0" w:color="auto"/>
              <w:bottom w:val="single" w:sz="6" w:space="0" w:color="auto"/>
              <w:right w:val="single" w:sz="6" w:space="0" w:color="auto"/>
            </w:tcBorders>
          </w:tcPr>
          <w:p w14:paraId="22F73CAC" w14:textId="77777777" w:rsidR="00DA6393" w:rsidRPr="00EA5AB4" w:rsidRDefault="00DA6393" w:rsidP="0032172D">
            <w:pPr>
              <w:jc w:val="center"/>
              <w:textAlignment w:val="baseline"/>
              <w:rPr>
                <w:rFonts w:ascii="Century Gothic" w:hAnsi="Century Gothic" w:cs="Calibri"/>
                <w:sz w:val="18"/>
                <w:szCs w:val="20"/>
                <w:lang w:eastAsia="es-DO"/>
              </w:rPr>
            </w:pP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F5CF8" w14:textId="77777777" w:rsidR="00DA6393" w:rsidRPr="00EA5AB4" w:rsidRDefault="00DA6393" w:rsidP="0032172D">
            <w:pPr>
              <w:textAlignment w:val="baseline"/>
              <w:rPr>
                <w:rFonts w:ascii="Century Gothic" w:hAnsi="Century Gothic" w:cs="Segoe UI"/>
                <w:sz w:val="16"/>
                <w:szCs w:val="18"/>
                <w:lang w:eastAsia="es-DO"/>
              </w:rPr>
            </w:pPr>
            <w:r w:rsidRPr="00EA5AB4">
              <w:rPr>
                <w:rFonts w:ascii="Century Gothic" w:hAnsi="Century Gothic" w:cs="Calibri"/>
                <w:sz w:val="16"/>
                <w:szCs w:val="18"/>
                <w:lang w:eastAsia="es-DO"/>
              </w:rPr>
              <w:t>1.2</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E3855" w14:textId="77777777" w:rsidR="00DA6393" w:rsidRPr="00EA5AB4" w:rsidRDefault="00DA6393" w:rsidP="0032172D">
            <w:pPr>
              <w:jc w:val="center"/>
              <w:textAlignment w:val="baseline"/>
              <w:rPr>
                <w:rFonts w:ascii="Century Gothic" w:hAnsi="Century Gothic" w:cs="Segoe UI"/>
                <w:sz w:val="16"/>
                <w:szCs w:val="18"/>
                <w:lang w:eastAsia="es-DO"/>
              </w:rPr>
            </w:pPr>
            <w:r w:rsidRPr="00EA5AB4">
              <w:rPr>
                <w:rFonts w:ascii="Century Gothic" w:hAnsi="Century Gothic" w:cs="Calibri"/>
                <w:sz w:val="16"/>
                <w:szCs w:val="18"/>
                <w:lang w:eastAsia="es-DO"/>
              </w:rPr>
              <w:t>1</w:t>
            </w:r>
          </w:p>
        </w:tc>
        <w:tc>
          <w:tcPr>
            <w:tcW w:w="903" w:type="dxa"/>
            <w:tcBorders>
              <w:top w:val="single" w:sz="6" w:space="0" w:color="auto"/>
              <w:left w:val="single" w:sz="6" w:space="0" w:color="auto"/>
              <w:bottom w:val="single" w:sz="6" w:space="0" w:color="auto"/>
              <w:right w:val="single" w:sz="6" w:space="0" w:color="auto"/>
            </w:tcBorders>
            <w:vAlign w:val="center"/>
          </w:tcPr>
          <w:p w14:paraId="63C41575" w14:textId="77777777" w:rsidR="00DA6393" w:rsidRPr="00EA5AB4" w:rsidRDefault="00DA6393" w:rsidP="0032172D">
            <w:pPr>
              <w:textAlignment w:val="baseline"/>
              <w:rPr>
                <w:rFonts w:ascii="Century Gothic" w:hAnsi="Century Gothic" w:cs="Arial"/>
                <w:sz w:val="16"/>
                <w:szCs w:val="18"/>
                <w:lang w:eastAsia="es-DO"/>
              </w:rPr>
            </w:pPr>
            <w:r w:rsidRPr="00EA5AB4">
              <w:rPr>
                <w:rFonts w:ascii="Century Gothic" w:hAnsi="Century Gothic" w:cs="Calibri"/>
                <w:sz w:val="16"/>
                <w:szCs w:val="18"/>
                <w:lang w:eastAsia="es-DO"/>
              </w:rPr>
              <w:t>81111812 </w:t>
            </w:r>
          </w:p>
        </w:tc>
        <w:tc>
          <w:tcPr>
            <w:tcW w:w="1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80EBB" w14:textId="77777777" w:rsidR="00DA6393" w:rsidRPr="00EA5AB4" w:rsidRDefault="00DA6393" w:rsidP="0032172D">
            <w:pPr>
              <w:textAlignment w:val="baseline"/>
              <w:rPr>
                <w:rFonts w:ascii="Century Gothic" w:hAnsi="Century Gothic" w:cs="Segoe UI"/>
                <w:sz w:val="16"/>
                <w:szCs w:val="18"/>
                <w:lang w:eastAsia="es-DO"/>
              </w:rPr>
            </w:pPr>
            <w:r w:rsidRPr="00EA5AB4">
              <w:rPr>
                <w:rFonts w:ascii="Century Gothic" w:hAnsi="Century Gothic" w:cs="Arial"/>
                <w:sz w:val="16"/>
                <w:szCs w:val="18"/>
                <w:lang w:eastAsia="es-DO"/>
              </w:rPr>
              <w:t xml:space="preserve">Renovación de Soporte a Equipos </w:t>
            </w:r>
            <w:proofErr w:type="spellStart"/>
            <w:r w:rsidRPr="00EA5AB4">
              <w:rPr>
                <w:rFonts w:ascii="Century Gothic" w:hAnsi="Century Gothic" w:cs="Arial"/>
                <w:sz w:val="16"/>
                <w:szCs w:val="18"/>
                <w:lang w:eastAsia="es-DO"/>
              </w:rPr>
              <w:t>Nutanix</w:t>
            </w:r>
            <w:proofErr w:type="spellEnd"/>
            <w:r w:rsidRPr="00EA5AB4">
              <w:rPr>
                <w:rFonts w:ascii="Century Gothic" w:hAnsi="Century Gothic" w:cs="Arial"/>
                <w:sz w:val="16"/>
                <w:szCs w:val="18"/>
                <w:lang w:eastAsia="es-DO"/>
              </w:rPr>
              <w:t xml:space="preserve"> NACO </w:t>
            </w:r>
          </w:p>
        </w:tc>
        <w:tc>
          <w:tcPr>
            <w:tcW w:w="4934" w:type="dxa"/>
            <w:tcBorders>
              <w:top w:val="single" w:sz="6" w:space="0" w:color="auto"/>
              <w:left w:val="single" w:sz="6" w:space="0" w:color="auto"/>
              <w:bottom w:val="single" w:sz="6" w:space="0" w:color="auto"/>
              <w:right w:val="single" w:sz="6" w:space="0" w:color="auto"/>
            </w:tcBorders>
            <w:shd w:val="clear" w:color="auto" w:fill="auto"/>
            <w:hideMark/>
          </w:tcPr>
          <w:p w14:paraId="3CDA04FC" w14:textId="77777777" w:rsidR="00DA6393" w:rsidRPr="00EA5AB4" w:rsidRDefault="00DA6393" w:rsidP="00DA6393">
            <w:pPr>
              <w:numPr>
                <w:ilvl w:val="0"/>
                <w:numId w:val="45"/>
              </w:numPr>
              <w:ind w:right="160" w:hanging="20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NUTANIX PROD HW SUP RNWL SVCS </w:t>
            </w:r>
          </w:p>
          <w:p w14:paraId="12FE0480" w14:textId="77777777" w:rsidR="00DA6393" w:rsidRPr="00EA5AB4" w:rsidRDefault="00DA6393" w:rsidP="00DA6393">
            <w:pPr>
              <w:numPr>
                <w:ilvl w:val="0"/>
                <w:numId w:val="45"/>
              </w:numPr>
              <w:ind w:right="160" w:hanging="200"/>
              <w:jc w:val="both"/>
              <w:textAlignment w:val="baseline"/>
              <w:rPr>
                <w:rFonts w:ascii="Century Gothic" w:hAnsi="Century Gothic" w:cs="Arial"/>
                <w:sz w:val="16"/>
                <w:szCs w:val="18"/>
                <w:lang w:eastAsia="es-DO"/>
              </w:rPr>
            </w:pPr>
            <w:r w:rsidRPr="00EA5AB4">
              <w:rPr>
                <w:rFonts w:ascii="Century Gothic" w:hAnsi="Century Gothic" w:cs="Arial"/>
                <w:sz w:val="16"/>
                <w:szCs w:val="18"/>
                <w:lang w:eastAsia="es-DO"/>
              </w:rPr>
              <w:t xml:space="preserve">Renovación de soporte a equipos </w:t>
            </w:r>
            <w:proofErr w:type="spellStart"/>
            <w:r w:rsidRPr="00EA5AB4">
              <w:rPr>
                <w:rFonts w:ascii="Century Gothic" w:hAnsi="Century Gothic" w:cs="Arial"/>
                <w:sz w:val="16"/>
                <w:szCs w:val="18"/>
                <w:lang w:eastAsia="es-DO"/>
              </w:rPr>
              <w:t>Nutanix</w:t>
            </w:r>
            <w:proofErr w:type="spellEnd"/>
            <w:r w:rsidRPr="00EA5AB4">
              <w:rPr>
                <w:rFonts w:ascii="Century Gothic" w:hAnsi="Century Gothic" w:cs="Arial"/>
                <w:sz w:val="16"/>
                <w:szCs w:val="18"/>
                <w:lang w:eastAsia="es-DO"/>
              </w:rPr>
              <w:t> </w:t>
            </w:r>
          </w:p>
          <w:p w14:paraId="35FF6AE2" w14:textId="77777777" w:rsidR="00DA6393" w:rsidRPr="00EA5AB4" w:rsidRDefault="00DA6393" w:rsidP="00DA6393">
            <w:pPr>
              <w:numPr>
                <w:ilvl w:val="0"/>
                <w:numId w:val="45"/>
              </w:numPr>
              <w:ind w:right="160" w:hanging="200"/>
              <w:jc w:val="both"/>
              <w:textAlignment w:val="baseline"/>
              <w:rPr>
                <w:rFonts w:ascii="Century Gothic" w:hAnsi="Century Gothic" w:cs="Arial"/>
                <w:sz w:val="16"/>
                <w:szCs w:val="18"/>
                <w:lang w:eastAsia="es-DO"/>
              </w:rPr>
            </w:pPr>
            <w:r w:rsidRPr="00EA5AB4">
              <w:rPr>
                <w:rFonts w:ascii="Century Gothic" w:hAnsi="Century Gothic" w:cs="Arial"/>
                <w:sz w:val="16"/>
                <w:szCs w:val="18"/>
                <w:lang w:val="en-US" w:eastAsia="es-DO"/>
              </w:rPr>
              <w:t>NX-1065-G7-HY</w:t>
            </w:r>
            <w:r w:rsidRPr="00EA5AB4">
              <w:rPr>
                <w:rFonts w:ascii="Century Gothic" w:hAnsi="Century Gothic" w:cs="Arial"/>
                <w:sz w:val="16"/>
                <w:szCs w:val="18"/>
                <w:lang w:eastAsia="es-DO"/>
              </w:rPr>
              <w:t> </w:t>
            </w:r>
          </w:p>
          <w:p w14:paraId="22B4256A" w14:textId="77777777" w:rsidR="00DA6393" w:rsidRPr="00EA5AB4" w:rsidRDefault="00DA6393" w:rsidP="00DA6393">
            <w:pPr>
              <w:numPr>
                <w:ilvl w:val="0"/>
                <w:numId w:val="45"/>
              </w:numPr>
              <w:ind w:right="160" w:hanging="200"/>
              <w:jc w:val="both"/>
              <w:textAlignment w:val="baseline"/>
              <w:rPr>
                <w:rFonts w:ascii="Century Gothic" w:hAnsi="Century Gothic" w:cs="Arial"/>
                <w:sz w:val="16"/>
                <w:szCs w:val="18"/>
                <w:lang w:eastAsia="es-DO"/>
              </w:rPr>
            </w:pPr>
            <w:r w:rsidRPr="00EA5AB4">
              <w:rPr>
                <w:rFonts w:ascii="Century Gothic" w:hAnsi="Century Gothic" w:cs="Arial"/>
                <w:sz w:val="16"/>
                <w:szCs w:val="18"/>
                <w:lang w:val="en-US" w:eastAsia="es-DO"/>
              </w:rPr>
              <w:t>RS-HW-PRD-ST</w:t>
            </w:r>
            <w:r w:rsidRPr="00EA5AB4">
              <w:rPr>
                <w:rFonts w:ascii="Century Gothic" w:hAnsi="Century Gothic" w:cs="Arial"/>
                <w:sz w:val="16"/>
                <w:szCs w:val="18"/>
                <w:lang w:eastAsia="es-DO"/>
              </w:rPr>
              <w:t> </w:t>
            </w:r>
          </w:p>
          <w:p w14:paraId="740C07A8" w14:textId="77777777" w:rsidR="00DA6393" w:rsidRPr="00EA5AB4" w:rsidRDefault="00DA6393" w:rsidP="00DA6393">
            <w:pPr>
              <w:numPr>
                <w:ilvl w:val="0"/>
                <w:numId w:val="45"/>
              </w:numPr>
              <w:ind w:right="160" w:hanging="200"/>
              <w:jc w:val="both"/>
              <w:textAlignment w:val="baseline"/>
              <w:rPr>
                <w:rFonts w:ascii="Century Gothic" w:hAnsi="Century Gothic" w:cs="Arial"/>
                <w:sz w:val="16"/>
                <w:szCs w:val="18"/>
                <w:lang w:eastAsia="es-DO"/>
              </w:rPr>
            </w:pPr>
            <w:r w:rsidRPr="00EA5AB4">
              <w:rPr>
                <w:rFonts w:ascii="Century Gothic" w:hAnsi="Century Gothic" w:cs="Arial"/>
                <w:b/>
                <w:bCs/>
                <w:sz w:val="16"/>
                <w:szCs w:val="18"/>
                <w:lang w:eastAsia="es-DO"/>
              </w:rPr>
              <w:t xml:space="preserve">S/N: </w:t>
            </w:r>
            <w:r w:rsidRPr="00EA5AB4">
              <w:rPr>
                <w:rFonts w:ascii="Century Gothic" w:hAnsi="Century Gothic" w:cs="Arial"/>
                <w:sz w:val="16"/>
                <w:szCs w:val="18"/>
                <w:lang w:eastAsia="es-DO"/>
              </w:rPr>
              <w:t>20SM6L370196 </w:t>
            </w:r>
          </w:p>
          <w:p w14:paraId="0C8EA20F" w14:textId="77777777" w:rsidR="00DA6393" w:rsidRPr="00EA5AB4" w:rsidRDefault="00DA6393" w:rsidP="00DA6393">
            <w:pPr>
              <w:numPr>
                <w:ilvl w:val="0"/>
                <w:numId w:val="45"/>
              </w:numPr>
              <w:ind w:right="160" w:hanging="200"/>
              <w:jc w:val="both"/>
              <w:textAlignment w:val="baseline"/>
              <w:rPr>
                <w:rFonts w:ascii="Century Gothic" w:hAnsi="Century Gothic" w:cs="Arial"/>
                <w:sz w:val="16"/>
                <w:szCs w:val="18"/>
                <w:lang w:eastAsia="es-DO"/>
              </w:rPr>
            </w:pPr>
            <w:r w:rsidRPr="00EA5AB4">
              <w:rPr>
                <w:rFonts w:ascii="Century Gothic" w:hAnsi="Century Gothic" w:cs="Calibri"/>
                <w:sz w:val="16"/>
                <w:szCs w:val="18"/>
                <w:lang w:eastAsia="es-DO"/>
              </w:rPr>
              <w:t>3 años de soporte y reparación</w:t>
            </w:r>
          </w:p>
        </w:tc>
      </w:tr>
      <w:tr w:rsidR="00DA6393" w:rsidRPr="00EA5AB4" w14:paraId="5E163B17" w14:textId="77777777" w:rsidTr="0032172D">
        <w:trPr>
          <w:trHeight w:val="300"/>
        </w:trPr>
        <w:tc>
          <w:tcPr>
            <w:tcW w:w="572" w:type="dxa"/>
            <w:tcBorders>
              <w:top w:val="single" w:sz="6" w:space="0" w:color="auto"/>
              <w:left w:val="single" w:sz="6" w:space="0" w:color="auto"/>
              <w:bottom w:val="single" w:sz="6" w:space="0" w:color="auto"/>
              <w:right w:val="single" w:sz="6" w:space="0" w:color="auto"/>
            </w:tcBorders>
          </w:tcPr>
          <w:p w14:paraId="2F43F038" w14:textId="77777777" w:rsidR="00DA6393" w:rsidRPr="00EA5AB4" w:rsidRDefault="00DA6393" w:rsidP="0032172D">
            <w:pPr>
              <w:jc w:val="center"/>
              <w:textAlignment w:val="baseline"/>
              <w:rPr>
                <w:rFonts w:ascii="Century Gothic" w:hAnsi="Century Gothic" w:cs="Calibri"/>
                <w:sz w:val="16"/>
                <w:szCs w:val="18"/>
                <w:lang w:eastAsia="es-DO"/>
              </w:rPr>
            </w:pPr>
            <w:r w:rsidRPr="00EA5AB4">
              <w:rPr>
                <w:rFonts w:ascii="Century Gothic" w:hAnsi="Century Gothic" w:cs="Calibri"/>
                <w:sz w:val="16"/>
                <w:szCs w:val="18"/>
                <w:lang w:eastAsia="es-DO"/>
              </w:rPr>
              <w:lastRenderedPageBreak/>
              <w:t>2</w:t>
            </w:r>
          </w:p>
        </w:tc>
        <w:tc>
          <w:tcPr>
            <w:tcW w:w="578" w:type="dxa"/>
            <w:tcBorders>
              <w:top w:val="single" w:sz="6" w:space="0" w:color="auto"/>
              <w:left w:val="single" w:sz="6" w:space="0" w:color="auto"/>
              <w:bottom w:val="single" w:sz="6" w:space="0" w:color="auto"/>
              <w:right w:val="single" w:sz="6" w:space="0" w:color="auto"/>
            </w:tcBorders>
            <w:shd w:val="clear" w:color="auto" w:fill="auto"/>
            <w:hideMark/>
          </w:tcPr>
          <w:p w14:paraId="5C6362A4" w14:textId="77777777" w:rsidR="00DA6393" w:rsidRPr="00EA5AB4" w:rsidRDefault="00DA6393" w:rsidP="0032172D">
            <w:pPr>
              <w:jc w:val="center"/>
              <w:textAlignment w:val="baseline"/>
              <w:rPr>
                <w:rFonts w:ascii="Century Gothic" w:hAnsi="Century Gothic" w:cs="Calibri"/>
                <w:sz w:val="16"/>
                <w:szCs w:val="18"/>
                <w:lang w:eastAsia="es-DO"/>
              </w:rPr>
            </w:pPr>
            <w:r w:rsidRPr="00EA5AB4">
              <w:rPr>
                <w:rFonts w:ascii="Century Gothic" w:hAnsi="Century Gothic" w:cs="Calibri"/>
                <w:sz w:val="16"/>
                <w:szCs w:val="18"/>
                <w:lang w:eastAsia="es-DO"/>
              </w:rPr>
              <w:t>2.1</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C26A9" w14:textId="77777777" w:rsidR="00DA6393" w:rsidRPr="00EA5AB4" w:rsidRDefault="00DA6393" w:rsidP="0032172D">
            <w:pPr>
              <w:jc w:val="center"/>
              <w:textAlignment w:val="baseline"/>
              <w:rPr>
                <w:rFonts w:ascii="Century Gothic" w:hAnsi="Century Gothic" w:cs="Segoe UI"/>
                <w:sz w:val="16"/>
                <w:szCs w:val="18"/>
                <w:lang w:eastAsia="es-DO"/>
              </w:rPr>
            </w:pPr>
            <w:r w:rsidRPr="00EA5AB4">
              <w:rPr>
                <w:rFonts w:ascii="Century Gothic" w:hAnsi="Century Gothic" w:cs="Calibri"/>
                <w:sz w:val="16"/>
                <w:szCs w:val="18"/>
                <w:lang w:eastAsia="es-DO"/>
              </w:rPr>
              <w:t>2</w:t>
            </w:r>
          </w:p>
        </w:tc>
        <w:tc>
          <w:tcPr>
            <w:tcW w:w="903" w:type="dxa"/>
            <w:tcBorders>
              <w:top w:val="single" w:sz="6" w:space="0" w:color="auto"/>
              <w:left w:val="single" w:sz="6" w:space="0" w:color="auto"/>
              <w:bottom w:val="single" w:sz="6" w:space="0" w:color="auto"/>
              <w:right w:val="single" w:sz="6" w:space="0" w:color="auto"/>
            </w:tcBorders>
          </w:tcPr>
          <w:p w14:paraId="11F40F9E" w14:textId="77777777" w:rsidR="00DA6393" w:rsidRPr="00EA5AB4" w:rsidRDefault="00DA6393" w:rsidP="0032172D">
            <w:pPr>
              <w:textAlignment w:val="baseline"/>
              <w:rPr>
                <w:rFonts w:ascii="Century Gothic" w:hAnsi="Century Gothic" w:cs="Segoe UI"/>
                <w:sz w:val="16"/>
                <w:szCs w:val="18"/>
                <w:lang w:eastAsia="es-DO"/>
              </w:rPr>
            </w:pPr>
            <w:r w:rsidRPr="00EA5AB4">
              <w:rPr>
                <w:rFonts w:ascii="Century Gothic" w:hAnsi="Century Gothic" w:cs="Calibri Light"/>
                <w:sz w:val="16"/>
                <w:szCs w:val="18"/>
                <w:lang w:eastAsia="es-DO"/>
              </w:rPr>
              <w:t>81111812 </w:t>
            </w:r>
          </w:p>
          <w:p w14:paraId="5B07DB5E" w14:textId="77777777" w:rsidR="00DA6393" w:rsidRPr="00EA5AB4" w:rsidRDefault="00DA6393" w:rsidP="0032172D">
            <w:pPr>
              <w:textAlignment w:val="baseline"/>
              <w:rPr>
                <w:rFonts w:ascii="Century Gothic" w:hAnsi="Century Gothic" w:cs="Arial"/>
                <w:sz w:val="16"/>
                <w:szCs w:val="18"/>
                <w:lang w:eastAsia="es-DO"/>
              </w:rPr>
            </w:pPr>
            <w:r w:rsidRPr="00EA5AB4">
              <w:rPr>
                <w:rFonts w:ascii="Century Gothic" w:hAnsi="Century Gothic" w:cs="Calibri"/>
                <w:sz w:val="16"/>
                <w:szCs w:val="18"/>
                <w:lang w:eastAsia="es-DO"/>
              </w:rPr>
              <w:t> </w:t>
            </w:r>
          </w:p>
        </w:tc>
        <w:tc>
          <w:tcPr>
            <w:tcW w:w="1903" w:type="dxa"/>
            <w:tcBorders>
              <w:top w:val="single" w:sz="6" w:space="0" w:color="auto"/>
              <w:left w:val="single" w:sz="6" w:space="0" w:color="auto"/>
              <w:bottom w:val="single" w:sz="6" w:space="0" w:color="auto"/>
              <w:right w:val="single" w:sz="6" w:space="0" w:color="auto"/>
            </w:tcBorders>
            <w:shd w:val="clear" w:color="auto" w:fill="auto"/>
            <w:hideMark/>
          </w:tcPr>
          <w:p w14:paraId="57777D1D" w14:textId="77777777" w:rsidR="00DA6393" w:rsidRPr="00EA5AB4" w:rsidRDefault="00DA6393" w:rsidP="0032172D">
            <w:pPr>
              <w:textAlignment w:val="baseline"/>
              <w:rPr>
                <w:rFonts w:ascii="Century Gothic" w:hAnsi="Century Gothic" w:cs="Segoe UI"/>
                <w:sz w:val="16"/>
                <w:szCs w:val="18"/>
                <w:lang w:eastAsia="es-DO"/>
              </w:rPr>
            </w:pPr>
            <w:r w:rsidRPr="00EA5AB4">
              <w:rPr>
                <w:rFonts w:ascii="Century Gothic" w:hAnsi="Century Gothic" w:cs="Arial"/>
                <w:sz w:val="16"/>
                <w:szCs w:val="18"/>
                <w:lang w:eastAsia="es-DO"/>
              </w:rPr>
              <w:t>Renovación de soporte a para servidor SPARC T8-1 </w:t>
            </w:r>
          </w:p>
        </w:tc>
        <w:tc>
          <w:tcPr>
            <w:tcW w:w="4934" w:type="dxa"/>
            <w:tcBorders>
              <w:top w:val="single" w:sz="6" w:space="0" w:color="auto"/>
              <w:left w:val="single" w:sz="6" w:space="0" w:color="auto"/>
              <w:bottom w:val="single" w:sz="6" w:space="0" w:color="auto"/>
              <w:right w:val="single" w:sz="6" w:space="0" w:color="auto"/>
            </w:tcBorders>
            <w:shd w:val="clear" w:color="auto" w:fill="auto"/>
            <w:hideMark/>
          </w:tcPr>
          <w:p w14:paraId="1E07A4D1" w14:textId="77777777" w:rsidR="00DA6393" w:rsidRPr="00EA5AB4" w:rsidRDefault="00DA6393" w:rsidP="00DA6393">
            <w:pPr>
              <w:numPr>
                <w:ilvl w:val="0"/>
                <w:numId w:val="47"/>
              </w:numPr>
              <w:ind w:left="430" w:right="70" w:hanging="180"/>
              <w:jc w:val="both"/>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 xml:space="preserve">SPARC T8-1 server: model family One 32 GB DDR4-2400 registered DIMM (for factory installation) </w:t>
            </w:r>
          </w:p>
          <w:p w14:paraId="264AB341" w14:textId="77777777" w:rsidR="00DA6393" w:rsidRPr="00EA5AB4" w:rsidRDefault="00DA6393" w:rsidP="00DA6393">
            <w:pPr>
              <w:numPr>
                <w:ilvl w:val="0"/>
                <w:numId w:val="47"/>
              </w:numPr>
              <w:ind w:left="430" w:right="70" w:hanging="180"/>
              <w:jc w:val="both"/>
              <w:textAlignment w:val="baseline"/>
              <w:rPr>
                <w:rFonts w:ascii="Century Gothic" w:hAnsi="Century Gothic" w:cs="Arial"/>
                <w:sz w:val="16"/>
                <w:szCs w:val="18"/>
                <w:lang w:eastAsia="es-DO"/>
              </w:rPr>
            </w:pPr>
            <w:r w:rsidRPr="00EA5AB4">
              <w:rPr>
                <w:rFonts w:ascii="Century Gothic" w:hAnsi="Century Gothic" w:cs="Calibri"/>
                <w:sz w:val="16"/>
                <w:szCs w:val="18"/>
                <w:lang w:eastAsia="es-DO"/>
              </w:rPr>
              <w:t>3 años de soporte y reparación. </w:t>
            </w:r>
          </w:p>
          <w:p w14:paraId="1ACB897A" w14:textId="77777777" w:rsidR="00DA6393" w:rsidRPr="00EA5AB4" w:rsidRDefault="00DA6393" w:rsidP="0032172D">
            <w:pPr>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 xml:space="preserve">S/N: </w:t>
            </w:r>
          </w:p>
          <w:p w14:paraId="0D65BE07" w14:textId="77777777" w:rsidR="00DA6393" w:rsidRPr="00EA5AB4" w:rsidRDefault="00DA6393" w:rsidP="0032172D">
            <w:pPr>
              <w:textAlignment w:val="baseline"/>
              <w:rPr>
                <w:rFonts w:ascii="Century Gothic" w:hAnsi="Century Gothic" w:cs="Arial"/>
                <w:sz w:val="16"/>
                <w:szCs w:val="18"/>
                <w:lang w:val="en-US" w:eastAsia="es-DO"/>
              </w:rPr>
            </w:pPr>
            <w:r w:rsidRPr="00EA5AB4">
              <w:rPr>
                <w:rFonts w:ascii="Century Gothic" w:hAnsi="Century Gothic" w:cs="Arial"/>
                <w:sz w:val="16"/>
                <w:szCs w:val="18"/>
                <w:lang w:val="en-US" w:eastAsia="es-DO"/>
              </w:rPr>
              <w:t>1949NMC014 </w:t>
            </w:r>
          </w:p>
          <w:p w14:paraId="1337C892" w14:textId="77777777" w:rsidR="00DA6393" w:rsidRPr="00EA5AB4" w:rsidRDefault="00DA6393" w:rsidP="0032172D">
            <w:pPr>
              <w:textAlignment w:val="baseline"/>
              <w:rPr>
                <w:rFonts w:ascii="Century Gothic" w:hAnsi="Century Gothic" w:cs="Arial"/>
                <w:sz w:val="16"/>
                <w:szCs w:val="18"/>
                <w:lang w:eastAsia="es-DO"/>
              </w:rPr>
            </w:pPr>
            <w:r w:rsidRPr="00EA5AB4">
              <w:rPr>
                <w:rFonts w:ascii="Century Gothic" w:hAnsi="Century Gothic" w:cs="Arial"/>
                <w:sz w:val="16"/>
                <w:szCs w:val="18"/>
                <w:lang w:val="en-US" w:eastAsia="es-DO"/>
              </w:rPr>
              <w:t>1949NMC015</w:t>
            </w:r>
            <w:r w:rsidRPr="00EA5AB4">
              <w:rPr>
                <w:rFonts w:ascii="Century Gothic" w:hAnsi="Century Gothic" w:cs="Calibri"/>
                <w:sz w:val="16"/>
                <w:szCs w:val="18"/>
                <w:lang w:eastAsia="es-DO"/>
              </w:rPr>
              <w:t> </w:t>
            </w:r>
          </w:p>
        </w:tc>
      </w:tr>
    </w:tbl>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 xml:space="preserve">LA ENTIDAD </w:t>
      </w:r>
      <w:r w:rsidRPr="00A37913">
        <w:rPr>
          <w:rFonts w:asciiTheme="minorHAnsi" w:hAnsiTheme="minorHAnsi" w:cstheme="minorHAnsi"/>
          <w:b/>
          <w:bCs/>
          <w:color w:val="000000"/>
          <w:lang w:val="es-DO"/>
        </w:rPr>
        <w:lastRenderedPageBreak/>
        <w:t>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lastRenderedPageBreak/>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0FC7"/>
    <w:multiLevelType w:val="hybridMultilevel"/>
    <w:tmpl w:val="042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61E4C"/>
    <w:multiLevelType w:val="multilevel"/>
    <w:tmpl w:val="1E18CF3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C0189"/>
    <w:multiLevelType w:val="multilevel"/>
    <w:tmpl w:val="DD1C38D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C24AE"/>
    <w:multiLevelType w:val="hybridMultilevel"/>
    <w:tmpl w:val="A6E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3BD214A"/>
    <w:multiLevelType w:val="multilevel"/>
    <w:tmpl w:val="876A8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02938"/>
    <w:multiLevelType w:val="multilevel"/>
    <w:tmpl w:val="DC44A7A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456865D1"/>
    <w:multiLevelType w:val="multilevel"/>
    <w:tmpl w:val="9A007E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5853E06"/>
    <w:multiLevelType w:val="multilevel"/>
    <w:tmpl w:val="345CF6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79A291C"/>
    <w:multiLevelType w:val="multilevel"/>
    <w:tmpl w:val="AD54050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94BD2"/>
    <w:multiLevelType w:val="multilevel"/>
    <w:tmpl w:val="ACFA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495EB8"/>
    <w:multiLevelType w:val="multilevel"/>
    <w:tmpl w:val="FB046B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0" w15:restartNumberingAfterBreak="0">
    <w:nsid w:val="550161E2"/>
    <w:multiLevelType w:val="multilevel"/>
    <w:tmpl w:val="FBE8900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E5DE0"/>
    <w:multiLevelType w:val="multilevel"/>
    <w:tmpl w:val="B1A826C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5" w15:restartNumberingAfterBreak="0">
    <w:nsid w:val="65B06A63"/>
    <w:multiLevelType w:val="multilevel"/>
    <w:tmpl w:val="5C488F6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8" w15:restartNumberingAfterBreak="0">
    <w:nsid w:val="74D844C0"/>
    <w:multiLevelType w:val="multilevel"/>
    <w:tmpl w:val="7262B3C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3"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83EE8"/>
    <w:multiLevelType w:val="multilevel"/>
    <w:tmpl w:val="079A1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013FB"/>
    <w:multiLevelType w:val="multilevel"/>
    <w:tmpl w:val="502AD9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37"/>
  </w:num>
  <w:num w:numId="2">
    <w:abstractNumId w:val="13"/>
  </w:num>
  <w:num w:numId="3">
    <w:abstractNumId w:val="17"/>
  </w:num>
  <w:num w:numId="4">
    <w:abstractNumId w:val="11"/>
  </w:num>
  <w:num w:numId="5">
    <w:abstractNumId w:val="42"/>
  </w:num>
  <w:num w:numId="6">
    <w:abstractNumId w:val="32"/>
  </w:num>
  <w:num w:numId="7">
    <w:abstractNumId w:val="3"/>
  </w:num>
  <w:num w:numId="8">
    <w:abstractNumId w:val="33"/>
  </w:num>
  <w:num w:numId="9">
    <w:abstractNumId w:val="5"/>
  </w:num>
  <w:num w:numId="10">
    <w:abstractNumId w:val="19"/>
  </w:num>
  <w:num w:numId="11">
    <w:abstractNumId w:val="25"/>
  </w:num>
  <w:num w:numId="12">
    <w:abstractNumId w:val="40"/>
  </w:num>
  <w:num w:numId="13">
    <w:abstractNumId w:val="20"/>
  </w:num>
  <w:num w:numId="14">
    <w:abstractNumId w:val="45"/>
  </w:num>
  <w:num w:numId="15">
    <w:abstractNumId w:val="41"/>
  </w:num>
  <w:num w:numId="16">
    <w:abstractNumId w:val="27"/>
  </w:num>
  <w:num w:numId="17">
    <w:abstractNumId w:val="36"/>
  </w:num>
  <w:num w:numId="18">
    <w:abstractNumId w:val="39"/>
  </w:num>
  <w:num w:numId="19">
    <w:abstractNumId w:val="9"/>
  </w:num>
  <w:num w:numId="20">
    <w:abstractNumId w:val="43"/>
  </w:num>
  <w:num w:numId="21">
    <w:abstractNumId w:val="2"/>
  </w:num>
  <w:num w:numId="22">
    <w:abstractNumId w:val="8"/>
  </w:num>
  <w:num w:numId="23">
    <w:abstractNumId w:val="0"/>
  </w:num>
  <w:num w:numId="24">
    <w:abstractNumId w:val="31"/>
  </w:num>
  <w:num w:numId="25">
    <w:abstractNumId w:val="12"/>
  </w:num>
  <w:num w:numId="26">
    <w:abstractNumId w:val="26"/>
  </w:num>
  <w:num w:numId="27">
    <w:abstractNumId w:val="15"/>
  </w:num>
  <w:num w:numId="28">
    <w:abstractNumId w:val="6"/>
  </w:num>
  <w:num w:numId="29">
    <w:abstractNumId w:val="14"/>
  </w:num>
  <w:num w:numId="30">
    <w:abstractNumId w:val="1"/>
  </w:num>
  <w:num w:numId="31">
    <w:abstractNumId w:val="46"/>
  </w:num>
  <w:num w:numId="32">
    <w:abstractNumId w:val="29"/>
  </w:num>
  <w:num w:numId="33">
    <w:abstractNumId w:val="38"/>
  </w:num>
  <w:num w:numId="34">
    <w:abstractNumId w:val="22"/>
  </w:num>
  <w:num w:numId="35">
    <w:abstractNumId w:val="7"/>
  </w:num>
  <w:num w:numId="36">
    <w:abstractNumId w:val="24"/>
  </w:num>
  <w:num w:numId="37">
    <w:abstractNumId w:val="18"/>
  </w:num>
  <w:num w:numId="38">
    <w:abstractNumId w:val="23"/>
  </w:num>
  <w:num w:numId="39">
    <w:abstractNumId w:val="30"/>
  </w:num>
  <w:num w:numId="40">
    <w:abstractNumId w:val="35"/>
  </w:num>
  <w:num w:numId="41">
    <w:abstractNumId w:val="34"/>
  </w:num>
  <w:num w:numId="42">
    <w:abstractNumId w:val="21"/>
  </w:num>
  <w:num w:numId="43">
    <w:abstractNumId w:val="10"/>
  </w:num>
  <w:num w:numId="44">
    <w:abstractNumId w:val="28"/>
  </w:num>
  <w:num w:numId="45">
    <w:abstractNumId w:val="44"/>
  </w:num>
  <w:num w:numId="46">
    <w:abstractNumId w:val="4"/>
  </w:num>
  <w:num w:numId="4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000000"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2526</Words>
  <Characters>14424</Characters>
  <Application>Microsoft Office Word</Application>
  <DocSecurity>0</DocSecurity>
  <Lines>120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9</cp:revision>
  <cp:lastPrinted>2015-05-19T16:27:00Z</cp:lastPrinted>
  <dcterms:created xsi:type="dcterms:W3CDTF">2022-03-31T12:48:00Z</dcterms:created>
  <dcterms:modified xsi:type="dcterms:W3CDTF">2023-06-23T16:40:00Z</dcterms:modified>
</cp:coreProperties>
</file>