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21625707"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sdt>
        <w:sdtPr>
          <w:rPr>
            <w:rFonts w:asciiTheme="majorHAnsi" w:eastAsia="Calibri" w:hAnsiTheme="majorHAnsi" w:cstheme="majorHAnsi"/>
            <w:b/>
            <w:sz w:val="20"/>
            <w:szCs w:val="16"/>
          </w:rPr>
          <w:alias w:val="Indicar Objeto de la Compra"/>
          <w:tag w:val="Indicar Objeto de la Compra"/>
          <w:id w:val="4716297"/>
          <w:placeholder>
            <w:docPart w:val="9BA51F3E771446E68F16CDD4238A1E7D"/>
          </w:placeholder>
        </w:sdtPr>
        <w:sdtEndPr>
          <w:rPr>
            <w:sz w:val="18"/>
          </w:rPr>
        </w:sdtEndPr>
        <w:sdtContent>
          <w:r w:rsidR="00FD799A">
            <w:rPr>
              <w:b/>
              <w:sz w:val="20"/>
              <w:szCs w:val="22"/>
              <w:lang w:val="es-DO"/>
            </w:rPr>
            <w:t>…………………………………………………</w:t>
          </w:r>
          <w:r w:rsidR="009D5F1D">
            <w:rPr>
              <w:b/>
              <w:sz w:val="20"/>
              <w:szCs w:val="22"/>
              <w:lang w:val="es-DO"/>
            </w:rPr>
            <w:t xml:space="preserve">) </w:t>
          </w:r>
        </w:sdtContent>
      </w:sdt>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73DCEA3B"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E24165">
        <w:rPr>
          <w:rFonts w:asciiTheme="minorHAnsi" w:hAnsiTheme="minorHAnsi" w:cstheme="minorHAnsi"/>
          <w:color w:val="000000" w:themeColor="text1"/>
          <w:lang w:val="es-DO" w:eastAsia="es-MX"/>
        </w:rPr>
        <w:t>comparación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1F68BF7C"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4D08D9">
        <w:rPr>
          <w:rFonts w:asciiTheme="minorHAnsi" w:hAnsiTheme="minorHAnsi" w:cstheme="minorHAnsi"/>
        </w:rPr>
        <w:t>Licitación Pública Nacional</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E24165" w:rsidRPr="00E24165">
        <w:rPr>
          <w:rFonts w:asciiTheme="minorHAnsi" w:hAnsiTheme="minorHAnsi" w:cstheme="minorHAnsi"/>
          <w:color w:val="000000" w:themeColor="text1"/>
          <w:lang w:val="es-DO" w:eastAsia="en-US"/>
        </w:rPr>
        <w:t>Adquisición de Plataforma Educativa (Aula Virtual).</w:t>
      </w:r>
      <w:r w:rsidR="00F900AF" w:rsidRPr="00F900AF">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327A57AC"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FD799A">
        <w:rPr>
          <w:rFonts w:asciiTheme="minorHAnsi" w:hAnsiTheme="minorHAnsi" w:cstheme="minorHAnsi"/>
          <w:b/>
          <w:bCs/>
        </w:rPr>
        <w:t>PEPU</w:t>
      </w:r>
      <w:r w:rsidR="00F3638A" w:rsidRPr="00FC52BF">
        <w:rPr>
          <w:rFonts w:asciiTheme="minorHAnsi" w:hAnsiTheme="minorHAnsi" w:cstheme="minorHAnsi"/>
          <w:b/>
          <w:bCs/>
        </w:rPr>
        <w:t>-202</w:t>
      </w:r>
      <w:r w:rsidR="00552746">
        <w:rPr>
          <w:rFonts w:asciiTheme="minorHAnsi" w:hAnsiTheme="minorHAnsi" w:cstheme="minorHAnsi"/>
          <w:b/>
          <w:bCs/>
        </w:rPr>
        <w:t>4</w:t>
      </w:r>
      <w:r w:rsidR="00FC52BF" w:rsidRPr="00FC52BF">
        <w:rPr>
          <w:rFonts w:asciiTheme="minorHAnsi" w:hAnsiTheme="minorHAnsi" w:cstheme="minorHAnsi"/>
          <w:b/>
          <w:bCs/>
        </w:rPr>
        <w:t>-</w:t>
      </w:r>
      <w:r w:rsidR="00F3638A" w:rsidRPr="00FC52BF">
        <w:rPr>
          <w:rFonts w:asciiTheme="minorHAnsi" w:hAnsiTheme="minorHAnsi" w:cstheme="minorHAnsi"/>
          <w:b/>
          <w:bCs/>
        </w:rPr>
        <w:t>00</w:t>
      </w:r>
      <w:r w:rsidR="00FD799A">
        <w:rPr>
          <w:rFonts w:asciiTheme="minorHAnsi" w:hAnsiTheme="minorHAnsi" w:cstheme="minorHAnsi"/>
          <w:b/>
          <w:bCs/>
        </w:rPr>
        <w:t>0</w:t>
      </w:r>
      <w:r w:rsidR="00E21789">
        <w:rPr>
          <w:rFonts w:asciiTheme="minorHAnsi" w:hAnsiTheme="minorHAnsi" w:cstheme="minorHAnsi"/>
          <w:b/>
          <w:bCs/>
        </w:rPr>
        <w:t>3</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4512BFB4"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F900AF">
        <w:rPr>
          <w:rFonts w:asciiTheme="minorHAnsi" w:hAnsiTheme="minorHAnsi" w:cstheme="minorHAnsi"/>
          <w:color w:val="000000" w:themeColor="text1"/>
          <w:lang w:eastAsia="en-US"/>
        </w:rPr>
        <w:t>el</w:t>
      </w:r>
      <w:r w:rsidR="001D780C" w:rsidRPr="005C3607">
        <w:rPr>
          <w:rFonts w:asciiTheme="minorHAnsi" w:hAnsiTheme="minorHAnsi" w:cstheme="minorHAnsi"/>
          <w:color w:val="000000" w:themeColor="text1"/>
          <w:lang w:val="es-DO" w:eastAsia="en-US"/>
        </w:rPr>
        <w:t xml:space="preserve"> </w:t>
      </w:r>
      <w:r w:rsidR="00F900AF" w:rsidRPr="00F900AF">
        <w:rPr>
          <w:rFonts w:asciiTheme="minorHAnsi" w:hAnsiTheme="minorHAnsi" w:cstheme="minorHAnsi"/>
          <w:color w:val="000000" w:themeColor="text1"/>
          <w:lang w:val="es-DO" w:eastAsia="en-US"/>
        </w:rPr>
        <w:t>Servicio de Auditoría a la Gestión Tecnológica de la TSS y UNIPAGO</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178B4EF0"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w:t>
      </w:r>
      <w:r w:rsidR="00E24165">
        <w:rPr>
          <w:rFonts w:asciiTheme="minorHAnsi" w:hAnsiTheme="minorHAnsi" w:cs="Calibri"/>
          <w:color w:val="000000"/>
          <w:lang w:val="es-DO"/>
        </w:rPr>
        <w:t xml:space="preserve">la </w:t>
      </w:r>
      <w:r w:rsidR="00E24165" w:rsidRPr="00E24165">
        <w:rPr>
          <w:rFonts w:asciiTheme="minorHAnsi" w:hAnsiTheme="minorHAnsi" w:cs="Calibri"/>
          <w:color w:val="000000"/>
          <w:lang w:val="es-DO"/>
        </w:rPr>
        <w:t>Adquisición de Plataforma Educativa (Aula Virtual)</w:t>
      </w:r>
      <w:r w:rsidR="004D62BD">
        <w:rPr>
          <w:rFonts w:asciiTheme="minorHAnsi" w:hAnsiTheme="minorHAnsi" w:cs="Calibri"/>
          <w:color w:val="000000"/>
          <w:sz w:val="22"/>
          <w:szCs w:val="22"/>
          <w:lang w:val="es-DO"/>
        </w:rPr>
        <w:t>,</w:t>
      </w:r>
      <w:r w:rsidR="004D62BD">
        <w:rPr>
          <w:rFonts w:asciiTheme="minorHAnsi" w:hAnsiTheme="minorHAnsi" w:cs="Calibri"/>
          <w:color w:val="000000"/>
          <w:lang w:val="es-DO"/>
        </w:rPr>
        <w:t xml:space="preserve">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E24165">
        <w:rPr>
          <w:rFonts w:asciiTheme="majorHAnsi" w:hAnsiTheme="majorHAnsi" w:cstheme="majorHAnsi"/>
          <w:b/>
          <w:sz w:val="18"/>
          <w:szCs w:val="18"/>
          <w:highlight w:val="yellow"/>
          <w:u w:val="single"/>
        </w:rPr>
        <w:t>ESPECIFICACIONES TECNICAS</w:t>
      </w:r>
      <w:r w:rsidR="00595BFB" w:rsidRPr="00E24165">
        <w:rPr>
          <w:rFonts w:asciiTheme="majorHAnsi" w:hAnsiTheme="majorHAnsi" w:cstheme="majorHAnsi"/>
          <w:b/>
          <w:sz w:val="18"/>
          <w:szCs w:val="18"/>
          <w:highlight w:val="yellow"/>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w:t>
      </w:r>
      <w:r w:rsidRPr="005C3607">
        <w:rPr>
          <w:rFonts w:asciiTheme="minorHAnsi" w:hAnsiTheme="minorHAnsi" w:cstheme="minorHAnsi"/>
          <w:color w:val="000000"/>
          <w:lang w:val="es-DO"/>
        </w:rPr>
        <w:lastRenderedPageBreak/>
        <w:t>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B38047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w:t>
      </w:r>
      <w:r w:rsidR="00E24165">
        <w:rPr>
          <w:rFonts w:asciiTheme="minorHAnsi" w:hAnsiTheme="minorHAnsi" w:cs="Calibri"/>
          <w:color w:val="000000"/>
          <w:lang w:val="es-DO"/>
        </w:rPr>
        <w:t>de acuerdo al tiempo establecido en el pliego de condiciones</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6"/>
  </w:num>
  <w:num w:numId="7">
    <w:abstractNumId w:val="8"/>
  </w:num>
  <w:num w:numId="8">
    <w:abstractNumId w:val="1"/>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2746"/>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5F1D"/>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1789"/>
    <w:rsid w:val="00E24165"/>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138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D799A"/>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603466"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60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B1"/>
    <w:rPr>
      <w:color w:val="808080"/>
    </w:rPr>
  </w:style>
  <w:style w:type="paragraph" w:customStyle="1" w:styleId="9BA51F3E771446E68F16CDD4238A1E7D">
    <w:name w:val="9BA51F3E771446E68F16CDD4238A1E7D"/>
    <w:rsid w:val="00316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2311</Words>
  <Characters>13173</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cp:lastModifiedBy>
  <cp:revision>21</cp:revision>
  <cp:lastPrinted>2015-05-19T16:27:00Z</cp:lastPrinted>
  <dcterms:created xsi:type="dcterms:W3CDTF">2022-03-31T12:48:00Z</dcterms:created>
  <dcterms:modified xsi:type="dcterms:W3CDTF">2024-03-15T13:03:00Z</dcterms:modified>
</cp:coreProperties>
</file>